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D" w:rsidRPr="00A757BD" w:rsidRDefault="00A757BD" w:rsidP="00A757B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С-4776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17/09/2019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A75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757BD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00638-2019-0006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757BD" w:rsidRPr="00A757BD" w:rsidRDefault="00A757BD" w:rsidP="00A757B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A757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A757BD" w:rsidRPr="00A757BD" w:rsidRDefault="00A757BD" w:rsidP="00A757BD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A757BD" w:rsidRPr="00A757BD" w:rsidTr="00A757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A757BD" w:rsidRPr="00A757BD" w:rsidTr="00A757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пл. „Шейновски“ № 3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A757BD" w:rsidRPr="00A757BD" w:rsidTr="00A757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A757BD" w:rsidRPr="00A757BD" w:rsidTr="00A757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A757BD" w:rsidRPr="00A757BD" w:rsidTr="00A757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A757B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</w:t>
              </w:r>
            </w:hyperlink>
          </w:p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757B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15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A757B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http://www.simeonovgrad.bg/profilebuyer</w:t>
                    </w:r>
                  </w:hyperlink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1"/>
        <w:gridCol w:w="2136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„Изпълнение на строително-монтажни работи за обект: „Многофункционална спортна площадка за баскетбол, волейбол и мини-футбол в двора на НУ „Отец Паисий“,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45236100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Предвидените СМР ще се извършват съгласно одобрен инвестиционен проект „Многофункционална спортна площадка за баскетбол, волейбол и мини-футбол в двора на НУ „Отец Паисий“.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Видовете СМР, които подлежат на изпълнение и техните количества са подробно описани в приложената към документацията за настоящата обществена поръчка Количествена сметка – Образец № 5 от документацията. Описание на съществуващото положение и подробно описание на изискванията към плануваните видове СМР се съдържат в Техническа спецификация, представляваща Приложение № 1 към документацията за настоящата обществена поръчка.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94174.51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A757BD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08"/>
              <w:gridCol w:w="11292"/>
            </w:tblGrid>
            <w:tr w:rsidR="00A757BD" w:rsidRPr="00A757BD" w:rsidTr="00A757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45236100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Територията на община Симеоновград.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Описание на обекта на СМР – строежът е пета категория, съгласно чл. 137, ал. 1, т. 5, б. „а“ от ЗУТ и чл. 10, ал. 1, т. 4 от Наредба № 1 от 30.07.2003г. за номенклатурата на видовете строежи.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Предвидените СМР ще се извършват съгласно одобрен инвестиционен проект „Многофункционална спортна площадка за баскетбол, волейбол и мини-футбол в двора на НУ „Отец Паисий“.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Изпълнението на СМР се извършва в съответствие с част трета „Строителство“ от ЗУТ.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Обстоятелствата, свързани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Техническото изпълнение на строителството трябва да бъде изпълнено в съответствие с изискванията на приложимата нормативна уредба, в т.ч. Закон за устройство на територията и подзаконовите нормативни актове към него; техническите спецификации на вложените в строежа строителни продукти, материали и оборудване; и минималните изисквания за здравословни и безопасни условия на труд при извършване на СМР.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Видовете СМР, които подлежат на изпълнение и техните количества са подробно описани в приложената към документацията за настоящата обществена поръчка Количествена сметка – Образец № 5 от документацията. Описание на съществуващото положение и подробно описание на изискванията към плануваните видове СМР се съдържат в Техническа спецификация, представляваща Приложение № 1 към документацията за настоящата обществена поръчка.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30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A757BD" w:rsidRPr="00A757B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757BD" w:rsidRPr="00A757BD" w:rsidRDefault="00A757BD" w:rsidP="00A757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8789"/>
                        </w:tblGrid>
                        <w:tr w:rsidR="00A757BD" w:rsidRPr="00A757BD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A757BD" w:rsidRPr="00A757BD" w:rsidRDefault="00A757BD" w:rsidP="00A757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757B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A757BD" w:rsidRPr="00A757BD" w:rsidRDefault="00A757BD" w:rsidP="00A757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A757B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Техническо предложение за изпълнение на поръчката (</w:t>
                              </w:r>
                              <w:proofErr w:type="spellStart"/>
                              <w:r w:rsidRPr="00A757B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Тп</w:t>
                              </w:r>
                              <w:proofErr w:type="spellEnd"/>
                              <w:r w:rsidRPr="00A757B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)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A757B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  <w:tr w:rsidR="00A757BD" w:rsidRPr="00A757BD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A757BD" w:rsidRPr="00A757B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757BD" w:rsidRPr="00A757BD" w:rsidRDefault="00A757BD" w:rsidP="00A757B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A757B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A757BD" w:rsidRPr="00A757BD" w:rsidRDefault="00A757BD" w:rsidP="00A757BD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A757BD" w:rsidRPr="00A757BD" w:rsidRDefault="00A757BD" w:rsidP="00A757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A757BD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94174.51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дни: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 xml:space="preserve">II.2.9) Информация относно ограничение за броя на </w:t>
                  </w:r>
                  <w:proofErr w:type="spellStart"/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II.2.10) Информация относно вариантите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Идентификация на проекта: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Договор № BG06RDNP001-7.007-0026-C01/08.05.2019 г. за БФП по Процедура чрез подбор № BG06RDNP001-7.007 по </w:t>
                  </w:r>
                  <w:proofErr w:type="spellStart"/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подмярка</w:t>
                  </w:r>
                  <w:proofErr w:type="spellEnd"/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7.2. от мярка 7 от ПРСР 2014-2020 г., </w:t>
                  </w:r>
                  <w:proofErr w:type="spellStart"/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съфинансирана</w:t>
                  </w:r>
                  <w:proofErr w:type="spellEnd"/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от ЕЗФРСР.</w:t>
                  </w:r>
                </w:p>
              </w:tc>
            </w:tr>
            <w:tr w:rsidR="00A757BD" w:rsidRPr="00A757BD" w:rsidT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Изискване за вписване в професионален регистър: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Участниците в обществената поръчка трябва да са вписани в Централния професионален регистър на строителя (ЦПРС) към Камара на строителите в България (КСБ), а за чуждестранните лица – в аналогичен регистър съгласно законодателството на държава – членка на Европейския съюз или на друга държава – страна по Споразумението за Европейското икономическо пространство, в която са установени.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Минимално ниво: участникът следва да има правоспособност да изпълнява строежи от групата и категорията, в която попада обекта на поръчката – първа група, пета категория.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Удостоверяване: Обстоятелството се удостоверява с посочване в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Критерии за подбор, раздел А. Годност чрез изписване на данните за вписването в ЦПРС, респ. в аналогичен регистър, дали съответните документи са на разположение в електронен формат; посочва се уеб адрес, орган или служба, издаващи документа за регистрация и точно позоваване на документа (рег. номер и период на валидност) и обхвата на регистрацията (групата и категорията строежи, описани в него).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хипотезата на чл. 67, ал.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ЕЕДОП. Във всеки конкретен случай възложителят съобразява разпоредбата на чл. 67, ал. 8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изисква копие на валидно Удостоверение за вписване в ЦПРС към Строителната камара за изпълнение на строежи от групата и категорията, в която попада обектът на поръчката.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случай, че участникът е чуждестранно лице той може да представи валиден 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доказващи вписването на участника в съответен регистър на тази държава.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не изисква документи, съобразно разпоредбата на чл. 112, ал. 9 от ЗОП.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III.1.2) Икономическо и финансово състояние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Изискване за реализиран минимален общ оборот: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Участниците следва да са реализирали минимален общ оборот, изчислен на база годишните обороти.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Забележка: Съгласно § 2, т. 66 от ДР на ЗОП “годишен общ оборот“ е сумата от нетните приходи от продажби по смисъла на Закона за счетоводството.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Удостоверяване: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подаване на офертата участникът попълва в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„Критерии за подбор“, раздел Б: „Икономическо и финансово състояние“ данни за неговия „годишен общ оборот“ за последните три финансови години, в зависимост от датата, на която е създаден или е започнал дейността си, съгласно годишните му финансови отчети.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хипотезата на чл. 67, ал.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ЕЕДОП. Във всеки конкретен случай възложителят съобразява разпоредбата на чл. 67, ал. 8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участникът, избран за изпълнител следва да представи заверени копия на годишните финансови отчети за последните 3 (три) приключили финансови години, в зависимост от датата, на която е създаден или е започнал дейността си, или техните съставни части, когато публикуването им се изисква, съгласно законодателството на държавата, в която участникът е установен.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не изисква документи, съобразно разпоредбата на чл. 112, ал. 9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2. Изискване за наличие на застраховка: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Участниците в обществената поръчка следва да имат застраховка „Професионална отговорност“ за „строител“, съгласно чл. 171, ал. 1 от Закона за устройство на територията. За участник, установен/регистриран извън Република България застраховката за професионална отговорност следва да бъде еквивалентна на тази по чл. 171. ал. 1 от ЗУТ, съгласно законодателството на държавата, където е установен/регистриран участникът.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Удостоверяване: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подаване на офертата обстоятелството се декларира в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Критерии за подбор, раздел, Б. Икономическо и финансово състояние се посочват данни (застрахователна сума, уеб адрес, орган или служба, издаващи документа, точно позоваване на документа – №, дата на издаване, застраховано лице, вид на застрахованата дейност и срок на валидност) за наличие на валидна застраховка за „Професионална отговорност“ по чл. 171 ал. 1 от ЗУТ за „строител“, при лимит на отговорността, съгласно чл. 5, ал. 2, т. 5 от Наредбата за условията и реда за задължително застраховане в проектирането и строителството или еквивалентен документ /за чуждестранните лица/. Професионалната дейност от застрахователните полици трябва да отговаря на предмета на поръчката.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хипотезата на чл. 67, ал.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ЕЕДОП. Във всеки конкретен случай възложителят съобразява разпоредбата на чл. 67, ал. 8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сключване на договора, участникът избран за изпълнител, следва да представи заверено копие на валидна застрахователна полица или еквивалентна застраховка за професионална отговорност или гаранция в случай че участникът е установен в друга държава – членка на Европейския съюз, или в страна по Споразумението за Европейското икономическо пространство /за чуждестранните лица/, съобразно декларираното в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, а в случай, че срокът на валидност на полицата изтича до датата на подписване на договора – и заверено копие на новата застрахователна полица.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не изисква документи, съобразно разпоредбата на чл. 112, ал. 9 от ЗОП.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Отн. изискването за реализиран минимален общ оборот: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Минимално ниво: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Участниците в обществената поръчка трябва за последните 3 (три) приключили финансови години, в зависимост от датата, на която са създадени или са започнали дейността да са реализирали минимален общ оборот в размер на 180 000,00 лв. (сто и осемдесет хиляди лева) изчислен на база годишните обороти.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2. Отн. изискването за наличие на застраховка: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Минимално ниво: Участникът да е застрахован със застраховка „Професионална отговорност“ за „строител“ за застрахователно събитие на стойност съобразно чл. 5, ал. 2, т. 5 от Наредбата за условията и реда за задължително застраховане в проектирането и строителството (най-малко за пета категория строежи).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III.1.3) Технически и професионални възможности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Изискване за наличие на опит: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следва да е изпълнил дейности с предмет и обем, идентични или сходни с тези на поръчката.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Удостоверяване: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подаване на офертата обстоятелството се декларира в съответното поле на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, Част IV: Критерии за подбор, раздел, В. Технически и професионални способности с посочване и описание на строително-монтажните дейности (предмета), стойността, датата, на която е приключило изпълнението, мястото, вида и обема.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хипотезата на чл. 67, ал.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ЕЕДОП. Във всеки конкретен случай възложителят съобразява разпоредбата на чл. 67, ал. 8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сключване на договора, участникът избран за изпълнител, следва да представи Списък на строителството, идентично или сходно с предмета на обществената поръчка, съобразно декларираното в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не изисква документи, съобразно разпоредбата на чл. 112, ал. 9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2. Изискване за ръководен състав, който ще отговаря за изпълнението на поръчката: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Участникът трябва да разполага с ръководен състав с определена професионална компетентност за изпълнението на поръчката.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ВАЖНО: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Един експерт не може да съвместява повече от две позиции от изискуемия ръководен състав за изпълнение на поръчката.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Удостоверяване: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подаване на офертата, съответствие с изискването се декларира в Част IV, Раздел В „Технически и професионални способности“ от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с посочване на информация за професионалната компетентност на лицата: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трите имена и позиция, която ще заема експертът при изпълнение на поръчката;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професионална квалификация на предложените експерти – направление/специалност, учебно заведение, където е придобито образованието или квалификацията, номер и дата на издаване на документа, удостоверяващ придобитото образование или квалификация;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професионален опит по специалността (когато се изисква) – посочва се месторабота, период, длъжност, основни функции.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хипотезата на чл. 67, ал.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документите, чрез които се доказва информацията, посочена в ЕЕДОП. Във всеки конкретен случай възложителят съобразява разпоредбата на чл. 67, ал. 8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сключване на договора участникът избран за изпълнител, следва да представи Списък на членовете на ръководния състав, които ще отговарят за изпълнението, съгласно декларираното в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еЕЕДОП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. както и документи, които доказват професионална компетентност на лицата.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При сключване на договора възложителят не изисква документи, съобразно разпоредбата на чл. 112, ал. 9 от ЗОП.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Отн. изискването за наличие на опит: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Минимално ниво: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През последните 5 (пет) години, считано от датата на подаване на офертата, участникът следва да е изпълнил строителни дейности (на един или няколко обекта) с предмет и обем, идентични или сходни с тези на поръчката.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За „строителни дейности с предмет и обем, идентични или сходни с тези на поръчката“ се приемат строителни дейности (на един или няколко обекта) по изграждане и/или доизграждане и/или реконструкция и/или основен ремонт на обществено достъпни открити площи, предназначени за индивидуални или групови игри и/или съоръжения за провеждане на спортни мероприятия с подходящи за целта настилка и/или настилка и оборудване.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2. Отн. изискването за ръководен състав, който ще отговаря за изпълнението на поръчката: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Минимално ниво: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а) Технически ръководител: с квалификация "строителен инженер", "инженер" или "архитект", или със средно образование с четиригодишен курс на обучение и придобита професионална квалификация в областите "Архитектура и строителство" и "Техника" или еквивалентно по реда на чл. 163а, ал. 3 от ЗУТ;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• професионален опит по специалността – минимум 3 (три) години професионален опит по специалността;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б) Специалист „Контрол на качеството“: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• квалификация, удостоверена със сертификат за завършено обучение, в областта на контрола върху качеството на изпълнение в строителството и контрола на съответствието на строителните продукти със съществените изисквания по ЗУТ или еквивалентно;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в) Специалист „Здравословни и безопасни условия на труд“: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? завършен курс на обучение, за длъжностно лице по здраве и безопасност или еквивалентен.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Забележка: При използването на експерти – чуждестранни лица, доказването на съответствие с поставените изисквания за образователно – квалификационна степен се удостоверява и с посочване на еквивалентни на изброените по-горе специалности. Прилагат се разпоредбите на Директива 2005/26/ЕО, както и условията и реда за признаване на професионални квалификации, придобити в други държави членки и в трети държави, с цел достъп и упражняване на регулирани професии в Република България. С Решение на Министерски съвет № 352 от 21.05.2015 г. е приет Първи национален план за действие по взаимна оценка на регулираните професии в държавите членки съгласно чл. 59 „Прозрачност“ от изменената Директива 2005/36/ЕО на Европейския парламент и на Съвета от 7 септември 2005 година относно признаването на професионалните квалификации.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Под „еквивалентно образование” следва да се разбира специалност, получена в чуждестранно учебно заведение в еквивалентни на тези области специалности по смисъла на ПМС 125 от 24.06.2002 г. за утвърждаване Класификатор на областите на висше образование и професионалните направления. Под „еквивалентно обучение“ следва да се разбира обучение, проведено от чуждестранен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обучител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теми, еквивалентни на изискваните за съответните позиции.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III.1.5) Информация относно запазени поръчки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1. Гаранцията за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изп-е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дог. е в р-р на 5 % от общата стойност на договора за общ. поръчка без включен ДДС. Възложителят предвижда гаранция за авансово предоставени средства в размер на авансово предоставените средства (до 50 % от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ст-стта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договора без ДДС). Гаранциите могат да бъдат представени в една от формите по чл. 111, ал. 5 от ЗОП. Допълнителна информация се съдържа в раздел 7 от документацията за общ. поръчка.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2. Условията за извършване на плащанията за изпълнение на дейностите, предмет на обществената поръчка, са подробно разписани в Проекта на договор, представляващ Приложение № 2 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 xml:space="preserve">към до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кументацията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за обществената поръчка.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III.2.3) Информация относно персонала, който отговаря за изпълнението на поръчката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ДА</w:t>
            </w: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8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2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A757BD" w:rsidRPr="00A757B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757BD" w:rsidRPr="00A757BD" w:rsidRDefault="00A757BD" w:rsidP="00A757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75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A757B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A757BD" w:rsidRPr="00A757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57BD" w:rsidRPr="00A757BD" w:rsidRDefault="00A757BD" w:rsidP="00A75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75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(Едно от следните: Обявление за предварителна информация; Обявление на профила на купувача)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IV.2.2) Срок за получаване на оферти или на заявления за участие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08/10/2019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   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IV.2.4) Езици, на които могат да бъдат подадени офертите или заявленията за участие: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04/06/2020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</w:t>
            </w:r>
          </w:p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09/10/2019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11:00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В зала "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Георчо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Караколев, ет. 1 в сградата на община Симеоновград, пл. Шейновски № 3, гр. Симеоновград.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осведомяване, съгласно разпоредбата на чл. 54, ал. 1 от ППЗОП. При представляване на участниците при отваряне на офертите от упълномощени представители, същите трябва да се легитимират с пълномощно.</w:t>
            </w:r>
          </w:p>
        </w:tc>
      </w:tr>
    </w:tbl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A757BD" w:rsidRPr="00A757B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За участниците следва да не са налице основанията за отстраняване чл. 54, ал. 1 и чл. 55, ал. 1 от ЗОП.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2. Специфични национални основания за отстраняване, които следва да не са налице за участниците са: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осъждания за престъпления по чл. 194 – 208, чл. 213а – 217, чл. 219 – 252 и чл. 254а – 255а и чл. 256 - 260 НК (чл. 54, ал. 1, т. 1 от ЗОП);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нарушения по чл. 61, ал. 1, чл. 62, ал. 1 или 3, чл. 63, ал. 1 или 2, чл. 228, ал. 3 от Кодекса на труда (чл. 54, ал. 1, т. 6 от ЗОП);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нарушения по чл. 13, ал. 1 от Закона за трудовата миграция и трудовата мобилност (чл. 54, ал. 1, т. 6 от ЗОП);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- наличие на свързаност по смисъла на </w:t>
            </w:r>
            <w:proofErr w:type="spellStart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пар</w:t>
            </w:r>
            <w:proofErr w:type="spellEnd"/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. 2, т. 44 от ДР на ЗОП между кандидати/ участници в конкретна процедура (чл. 107, т. 4 от ЗОП);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(ЗИФОДРЮПДРКЛТДС), освен ако са налице изключенията по чл. 4 от ЗИФОДРЮПДРКЛТДС;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- обстоятелства по чл. 69 от Закона за противодействие на корупцията и за отнемане на незаконно придобитото имущество.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3. Когато участникът в процедурата е обединение, което не е юридическо лице, участникът следва да приложи към офертата си копие от документ, от който е видно правното основание за създаване на обединението, както и следната информация: правата и задълженията на участниците в обединението; клауза за солидарна отговорност на лицата – участници в обединението, за задълженията по договора за обществена поръчка; видът и делът на дейностите, които ще изпълнява всеки от членовете на обединението. Документът следва да е подписан от лицата в обединението, като в него задължително се посочва представляващият обединението. Когато в договора не е посочено лицето, което представлява участниците в обединението се представя и документ, подписан от лицата в обединението, в който се посочва представляващият.</w:t>
            </w:r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A757BD" w:rsidRPr="00A757B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A757BD" w:rsidRPr="00A757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A757B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757B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757BD" w:rsidRPr="00A757B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757BD" w:rsidRPr="00A757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Жалба може да се подава в 10-дневен срок от: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1. Изтичането на срока по чл. 179 – срещу решението за откриване на процедурата и/или решението за одобряване на обявлението за изменение или за допълнителна информация;.</w:t>
            </w:r>
            <w:r w:rsidRPr="00A757B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A757BD">
              <w:rPr>
                <w:rFonts w:ascii="Courier New" w:eastAsia="Times New Roman" w:hAnsi="Courier New" w:cs="Courier New"/>
                <w:sz w:val="20"/>
                <w:lang w:eastAsia="bg-BG"/>
              </w:rPr>
              <w:t>2. В случаите по чл. 196, ал. 5 от ЗОП - от уведомяване за съответното действие, а ако лицето не е уведомено, както и при бездействие – от датата, на която е изтекъл срокът за извършване на съответното действие.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757BD" w:rsidRPr="00A757BD" w:rsidTr="00A7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A757BD" w:rsidRPr="00A757B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757BD" w:rsidRPr="00A757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757BD" w:rsidRPr="00A757B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757B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57BD" w:rsidRPr="00A757BD" w:rsidRDefault="00A757BD" w:rsidP="00A75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75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757BD" w:rsidRPr="00A757BD" w:rsidRDefault="00A757BD" w:rsidP="00A757B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A757BD">
        <w:rPr>
          <w:rFonts w:ascii="Courier New" w:eastAsia="Times New Roman" w:hAnsi="Courier New" w:cs="Courier New"/>
          <w:color w:val="000000"/>
          <w:sz w:val="20"/>
          <w:lang w:eastAsia="bg-BG"/>
        </w:rPr>
        <w:t>17/09/2019</w:t>
      </w:r>
      <w:r w:rsidRPr="00A757BD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A757BD" w:rsidRPr="00A757BD" w:rsidRDefault="00A757BD" w:rsidP="00A757B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lastRenderedPageBreak/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757BD" w:rsidRPr="00A757BD" w:rsidRDefault="00A757BD" w:rsidP="00A757B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757B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757BD" w:rsidRPr="00A757BD" w:rsidTr="00A75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57BD" w:rsidRPr="00A757BD" w:rsidRDefault="00A757BD" w:rsidP="00A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AA391F" w:rsidRDefault="00AA391F"/>
    <w:sectPr w:rsidR="00AA391F" w:rsidSect="00AA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7BD"/>
    <w:rsid w:val="00A757BD"/>
    <w:rsid w:val="00AA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F"/>
  </w:style>
  <w:style w:type="paragraph" w:styleId="1">
    <w:name w:val="heading 1"/>
    <w:basedOn w:val="a"/>
    <w:link w:val="10"/>
    <w:uiPriority w:val="9"/>
    <w:qFormat/>
    <w:rsid w:val="00A7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757B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A757BD"/>
  </w:style>
  <w:style w:type="character" w:customStyle="1" w:styleId="inputlabel">
    <w:name w:val="input_label"/>
    <w:basedOn w:val="a0"/>
    <w:rsid w:val="00A757BD"/>
  </w:style>
  <w:style w:type="character" w:styleId="a3">
    <w:name w:val="Hyperlink"/>
    <w:basedOn w:val="a0"/>
    <w:uiPriority w:val="99"/>
    <w:semiHidden/>
    <w:unhideWhenUsed/>
    <w:rsid w:val="00A757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A757BD"/>
  </w:style>
  <w:style w:type="paragraph" w:styleId="a5">
    <w:name w:val="Balloon Text"/>
    <w:basedOn w:val="a"/>
    <w:link w:val="a6"/>
    <w:uiPriority w:val="99"/>
    <w:semiHidden/>
    <w:unhideWhenUsed/>
    <w:rsid w:val="00A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521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688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profilebuyer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4580</Words>
  <Characters>26109</Characters>
  <Application>Microsoft Office Word</Application>
  <DocSecurity>0</DocSecurity>
  <Lines>217</Lines>
  <Paragraphs>61</Paragraphs>
  <ScaleCrop>false</ScaleCrop>
  <Company/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2019-09-17T10:10:00Z</dcterms:created>
  <dcterms:modified xsi:type="dcterms:W3CDTF">2019-09-17T10:11:00Z</dcterms:modified>
</cp:coreProperties>
</file>