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2A0C" w14:textId="067B2A9F" w:rsidR="00E93BAA" w:rsidRDefault="00763A59" w:rsidP="00AB7C67">
      <w:pPr>
        <w:jc w:val="right"/>
        <w:rPr>
          <w:rFonts w:ascii="Times New Roman" w:hAnsi="Times New Roman" w:cs="Times New Roman"/>
          <w:b/>
          <w:i/>
          <w:sz w:val="24"/>
          <w:lang w:val="bg-BG"/>
        </w:rPr>
      </w:pPr>
      <w:r w:rsidRPr="00763A59">
        <w:rPr>
          <w:rFonts w:ascii="Times New Roman" w:hAnsi="Times New Roman" w:cs="Times New Roman"/>
          <w:b/>
          <w:i/>
          <w:sz w:val="24"/>
          <w:lang w:val="bg-BG"/>
        </w:rPr>
        <w:t>Приложение № 2</w:t>
      </w:r>
    </w:p>
    <w:p w14:paraId="3B0273A3" w14:textId="77777777" w:rsidR="00E93BAA" w:rsidRPr="00E93BAA" w:rsidRDefault="00E93BAA" w:rsidP="00E93BAA">
      <w:pPr>
        <w:suppressAutoHyphens/>
        <w:jc w:val="both"/>
        <w:rPr>
          <w:rFonts w:ascii="Times New Roman" w:hAnsi="Times New Roman" w:cs="Times New Roman"/>
          <w:bCs/>
          <w:lang w:eastAsia="ar-SA"/>
        </w:rPr>
      </w:pPr>
      <w:bookmarkStart w:id="0" w:name="bookmark0"/>
    </w:p>
    <w:p w14:paraId="681B0AAE" w14:textId="77777777" w:rsidR="00E93BAA" w:rsidRPr="00AB7C67" w:rsidRDefault="00E93BAA" w:rsidP="00AB7C6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67">
        <w:rPr>
          <w:rFonts w:ascii="Times New Roman" w:hAnsi="Times New Roman" w:cs="Times New Roman"/>
          <w:b/>
          <w:sz w:val="28"/>
          <w:szCs w:val="28"/>
        </w:rPr>
        <w:t>МЕТОДИКА ЗА ОПРЕДЕЛЯНЕ НА КОМПЛЕКСНАТА ОЦЕНКА НА</w:t>
      </w:r>
      <w:bookmarkEnd w:id="0"/>
    </w:p>
    <w:p w14:paraId="7075A693" w14:textId="6668E94A" w:rsidR="00E93BAA" w:rsidRDefault="00E93BAA" w:rsidP="00AB7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AB7C67">
        <w:rPr>
          <w:rFonts w:ascii="Times New Roman" w:hAnsi="Times New Roman" w:cs="Times New Roman"/>
          <w:b/>
          <w:sz w:val="28"/>
          <w:szCs w:val="28"/>
        </w:rPr>
        <w:t>ОФЕРТИТЕ</w:t>
      </w:r>
      <w:bookmarkEnd w:id="1"/>
    </w:p>
    <w:p w14:paraId="79A79022" w14:textId="484D768B" w:rsidR="004C3ABF" w:rsidRDefault="00D12214" w:rsidP="004C3AB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31F3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обществена поръчка </w:t>
      </w:r>
      <w:r w:rsidRPr="00931F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стойност по чл. 20, ал. 3 от ЗОП</w:t>
      </w:r>
      <w:r w:rsidRPr="00931F3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 предмет: </w:t>
      </w:r>
      <w:r w:rsidR="00931F3F" w:rsidRPr="00C06668">
        <w:rPr>
          <w:rFonts w:ascii="Times New Roman" w:hAnsi="Times New Roman" w:cs="Times New Roman"/>
          <w:b/>
          <w:i/>
          <w:color w:val="000000"/>
          <w:sz w:val="24"/>
          <w:szCs w:val="24"/>
        </w:rPr>
        <w:t>„</w:t>
      </w:r>
      <w:r w:rsidR="00931F3F" w:rsidRPr="00C06668">
        <w:rPr>
          <w:rFonts w:ascii="Times New Roman" w:hAnsi="Times New Roman" w:cs="Times New Roman"/>
          <w:b/>
          <w:i/>
          <w:sz w:val="24"/>
          <w:szCs w:val="24"/>
        </w:rPr>
        <w:t xml:space="preserve">Изпълнение на строителен надзор при реализация на строително-монтажните работи на обект: </w:t>
      </w:r>
      <w:r w:rsidR="00931F3F" w:rsidRPr="00C06668">
        <w:rPr>
          <w:rFonts w:ascii="Times New Roman" w:hAnsi="Times New Roman" w:cs="Times New Roman"/>
          <w:b/>
          <w:i/>
          <w:color w:val="000000"/>
          <w:sz w:val="24"/>
          <w:szCs w:val="24"/>
        </w:rPr>
        <w:t>"Многофункционална спортна площадка за баскетбол, волейбол и мини-</w:t>
      </w:r>
      <w:proofErr w:type="gramStart"/>
      <w:r w:rsidR="00931F3F" w:rsidRPr="00C06668">
        <w:rPr>
          <w:rFonts w:ascii="Times New Roman" w:hAnsi="Times New Roman" w:cs="Times New Roman"/>
          <w:b/>
          <w:i/>
          <w:color w:val="000000"/>
          <w:sz w:val="24"/>
          <w:szCs w:val="24"/>
        </w:rPr>
        <w:t>футбол  в</w:t>
      </w:r>
      <w:proofErr w:type="gramEnd"/>
      <w:r w:rsidR="00931F3F" w:rsidRPr="00C0666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двора на НУ „Отец Паисий“, гр.Симеоновград”</w:t>
      </w:r>
    </w:p>
    <w:p w14:paraId="5EC9842B" w14:textId="77777777" w:rsidR="004C3ABF" w:rsidRPr="00C06668" w:rsidRDefault="004C3ABF" w:rsidP="004C3AB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67E79CEF" w14:textId="77777777" w:rsidR="00F55530" w:rsidRPr="001E25D2" w:rsidRDefault="00F55530" w:rsidP="001E25D2">
      <w:pPr>
        <w:suppressAutoHyphens/>
        <w:spacing w:afterLines="40" w:after="9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1E25D2">
        <w:rPr>
          <w:rFonts w:ascii="Times New Roman" w:hAnsi="Times New Roman" w:cs="Times New Roman"/>
          <w:sz w:val="24"/>
          <w:szCs w:val="24"/>
        </w:rPr>
        <w:t>Оценяването и класирането на офертите се извършва по критерия за възлагане</w:t>
      </w:r>
      <w:r w:rsidRPr="001E25D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E25D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„ОПТИМАЛНО СЪОТНОШЕНИЕ КАЧЕСТВО/ЦЕНА”, по смисъла на чл. 70, ал. 2, т. 3 от ЗОП.</w:t>
      </w:r>
    </w:p>
    <w:p w14:paraId="3B7C6ADB" w14:textId="77777777" w:rsidR="00F55530" w:rsidRPr="001E25D2" w:rsidRDefault="00F55530" w:rsidP="001E25D2">
      <w:pPr>
        <w:pStyle w:val="Body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2F1C369D" w14:textId="77777777" w:rsidR="00F55530" w:rsidRPr="001E25D2" w:rsidRDefault="00F55530" w:rsidP="001E25D2">
      <w:pPr>
        <w:pStyle w:val="Bodytext20"/>
        <w:shd w:val="clear" w:color="auto" w:fill="auto"/>
        <w:spacing w:before="0" w:after="405"/>
        <w:rPr>
          <w:rFonts w:ascii="Times New Roman" w:hAnsi="Times New Roman" w:cs="Times New Roman"/>
          <w:sz w:val="24"/>
          <w:szCs w:val="24"/>
        </w:rPr>
      </w:pPr>
      <w:r w:rsidRPr="001E25D2">
        <w:rPr>
          <w:rFonts w:ascii="Times New Roman" w:hAnsi="Times New Roman" w:cs="Times New Roman"/>
          <w:sz w:val="24"/>
          <w:szCs w:val="24"/>
        </w:rPr>
        <w:t xml:space="preserve">Класирането на допуснатите до оценка оферти се извършва на база получената от всяка оферта „Комплексна </w:t>
      </w:r>
      <w:proofErr w:type="gramStart"/>
      <w:r w:rsidRPr="001E25D2">
        <w:rPr>
          <w:rFonts w:ascii="Times New Roman" w:hAnsi="Times New Roman" w:cs="Times New Roman"/>
          <w:sz w:val="24"/>
          <w:szCs w:val="24"/>
        </w:rPr>
        <w:t>оценка“ (</w:t>
      </w:r>
      <w:proofErr w:type="gramEnd"/>
      <w:r w:rsidRPr="001E25D2">
        <w:rPr>
          <w:rFonts w:ascii="Times New Roman" w:hAnsi="Times New Roman" w:cs="Times New Roman"/>
          <w:sz w:val="24"/>
          <w:szCs w:val="24"/>
        </w:rPr>
        <w:t>КО). Комплексната оценка представлява сума от индивидуалните оценки по определените предварително от възложителя показатели, отразяващи оптималното съотношение качество/цена, както следва:</w:t>
      </w:r>
    </w:p>
    <w:tbl>
      <w:tblPr>
        <w:tblOverlap w:val="never"/>
        <w:tblW w:w="9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7"/>
        <w:gridCol w:w="2399"/>
      </w:tblGrid>
      <w:tr w:rsidR="00F55530" w:rsidRPr="001E25D2" w14:paraId="0DEE5789" w14:textId="77777777" w:rsidTr="007B038D">
        <w:trPr>
          <w:trHeight w:hRule="exact" w:val="640"/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86803D1" w14:textId="77777777" w:rsidR="00F55530" w:rsidRPr="001E25D2" w:rsidRDefault="00F55530" w:rsidP="001E25D2">
            <w:pPr>
              <w:pStyle w:val="Bodytext20"/>
              <w:framePr w:w="9403" w:wrap="notBeside" w:vAnchor="text" w:hAnchor="text" w:xAlign="center" w:y="1"/>
              <w:shd w:val="clear" w:color="auto" w:fill="auto"/>
              <w:spacing w:before="0" w:line="26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D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 - 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676082" w14:textId="77777777" w:rsidR="00F55530" w:rsidRPr="001E25D2" w:rsidRDefault="00F55530" w:rsidP="001E25D2">
            <w:pPr>
              <w:pStyle w:val="Bodytext20"/>
              <w:framePr w:w="9403" w:wrap="notBeside" w:vAnchor="text" w:hAnchor="text" w:xAlign="center" w:y="1"/>
              <w:shd w:val="clear" w:color="auto" w:fill="auto"/>
              <w:tabs>
                <w:tab w:val="left" w:pos="1536"/>
              </w:tabs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D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Максимално възможен брой точки</w:t>
            </w:r>
          </w:p>
        </w:tc>
      </w:tr>
      <w:tr w:rsidR="00F55530" w:rsidRPr="001E25D2" w14:paraId="19B31419" w14:textId="77777777" w:rsidTr="007B038D">
        <w:trPr>
          <w:trHeight w:hRule="exact" w:val="361"/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0E370" w14:textId="77777777" w:rsidR="00F55530" w:rsidRPr="001E25D2" w:rsidRDefault="00F55530" w:rsidP="001E25D2">
            <w:pPr>
              <w:pStyle w:val="Bodytext20"/>
              <w:framePr w:w="9403" w:wrap="notBeside" w:vAnchor="text" w:hAnchor="text" w:xAlign="center" w:y="1"/>
              <w:shd w:val="clear" w:color="auto" w:fill="auto"/>
              <w:tabs>
                <w:tab w:val="left" w:pos="240"/>
              </w:tabs>
              <w:spacing w:before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25D2">
              <w:rPr>
                <w:rFonts w:ascii="Times New Roman" w:hAnsi="Times New Roman" w:cs="Times New Roman"/>
                <w:sz w:val="24"/>
                <w:szCs w:val="24"/>
              </w:rPr>
              <w:t xml:space="preserve"> П1 – Техническо предложение за изпълнение на поръчката (Тп)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1E9CC" w14:textId="77777777" w:rsidR="00F55530" w:rsidRPr="001E25D2" w:rsidRDefault="00F55530" w:rsidP="001E25D2">
            <w:pPr>
              <w:pStyle w:val="Bodytext20"/>
              <w:framePr w:w="9403" w:wrap="notBeside" w:vAnchor="text" w:hAnchor="text" w:xAlign="center" w:y="1"/>
              <w:shd w:val="clear" w:color="auto" w:fill="auto"/>
              <w:spacing w:before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25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55530" w:rsidRPr="001E25D2" w14:paraId="22B890DD" w14:textId="77777777" w:rsidTr="007B038D">
        <w:trPr>
          <w:trHeight w:hRule="exact" w:val="394"/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6C685" w14:textId="77777777" w:rsidR="00F55530" w:rsidRPr="001E25D2" w:rsidRDefault="00F55530" w:rsidP="001E25D2">
            <w:pPr>
              <w:pStyle w:val="Bodytext20"/>
              <w:framePr w:w="9403" w:wrap="notBeside" w:vAnchor="text" w:hAnchor="text" w:xAlign="center" w:y="1"/>
              <w:shd w:val="clear" w:color="auto" w:fill="auto"/>
              <w:tabs>
                <w:tab w:val="left" w:pos="240"/>
              </w:tabs>
              <w:spacing w:before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25D2">
              <w:rPr>
                <w:rFonts w:ascii="Times New Roman" w:hAnsi="Times New Roman" w:cs="Times New Roman"/>
                <w:sz w:val="24"/>
                <w:szCs w:val="24"/>
              </w:rPr>
              <w:t xml:space="preserve"> П2 – Предлагана цена (Пц)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A213" w14:textId="77777777" w:rsidR="00F55530" w:rsidRPr="001E25D2" w:rsidRDefault="00F55530" w:rsidP="001E25D2">
            <w:pPr>
              <w:pStyle w:val="Bodytext20"/>
              <w:framePr w:w="9403" w:wrap="notBeside" w:vAnchor="text" w:hAnchor="text" w:xAlign="center" w:y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5D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</w:tbl>
    <w:p w14:paraId="1D9A3F96" w14:textId="77777777" w:rsidR="00F55530" w:rsidRPr="001E25D2" w:rsidRDefault="00F55530" w:rsidP="001E25D2">
      <w:pPr>
        <w:framePr w:w="9403" w:wrap="notBeside" w:vAnchor="text" w:hAnchor="text" w:xAlign="center" w:y="1"/>
        <w:jc w:val="both"/>
        <w:rPr>
          <w:rFonts w:ascii="Times New Roman" w:hAnsi="Times New Roman" w:cs="Times New Roman"/>
          <w:sz w:val="24"/>
          <w:szCs w:val="24"/>
        </w:rPr>
      </w:pPr>
    </w:p>
    <w:p w14:paraId="4FBBA676" w14:textId="43F2D9BC" w:rsidR="00F55530" w:rsidRPr="001E25D2" w:rsidRDefault="00223B84" w:rsidP="001E25D2">
      <w:pPr>
        <w:pStyle w:val="Bodytext20"/>
        <w:shd w:val="clear" w:color="auto" w:fill="auto"/>
        <w:spacing w:before="4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="00F55530" w:rsidRPr="001E25D2">
        <w:rPr>
          <w:rFonts w:ascii="Times New Roman" w:hAnsi="Times New Roman" w:cs="Times New Roman"/>
          <w:b/>
          <w:sz w:val="24"/>
          <w:szCs w:val="24"/>
        </w:rPr>
        <w:t>омплексна оценка (КО) = Тп + Пц</w:t>
      </w:r>
    </w:p>
    <w:p w14:paraId="6CEDED1B" w14:textId="77777777" w:rsidR="00F55530" w:rsidRPr="001E25D2" w:rsidRDefault="00F55530" w:rsidP="001E25D2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1E25D2">
        <w:rPr>
          <w:rFonts w:ascii="Times New Roman" w:hAnsi="Times New Roman" w:cs="Times New Roman"/>
          <w:sz w:val="24"/>
          <w:szCs w:val="24"/>
        </w:rPr>
        <w:t xml:space="preserve">На първо място се класира участникът, събрал най-много точки. Максималният брой точки, който може да получи участник на комплексна оценка, е </w:t>
      </w:r>
      <w:r w:rsidRPr="001E25D2">
        <w:rPr>
          <w:rFonts w:ascii="Times New Roman" w:hAnsi="Times New Roman" w:cs="Times New Roman"/>
          <w:b/>
          <w:sz w:val="24"/>
          <w:szCs w:val="24"/>
        </w:rPr>
        <w:t>100 т.</w:t>
      </w:r>
    </w:p>
    <w:p w14:paraId="1E3ED2D6" w14:textId="77777777" w:rsidR="001E25D2" w:rsidRPr="001E25D2" w:rsidRDefault="001E25D2" w:rsidP="001E25D2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5E6F5E" w14:textId="67E6D9CF" w:rsidR="00F55530" w:rsidRPr="001E25D2" w:rsidRDefault="00F55530" w:rsidP="001E25D2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5D2">
        <w:rPr>
          <w:rFonts w:ascii="Times New Roman" w:hAnsi="Times New Roman" w:cs="Times New Roman"/>
          <w:b/>
          <w:sz w:val="24"/>
          <w:szCs w:val="24"/>
        </w:rPr>
        <w:t xml:space="preserve">УКАЗАНИЯ ЗА ОПРЕДЕЛЯНЕ </w:t>
      </w:r>
      <w:bookmarkStart w:id="2" w:name="_GoBack"/>
      <w:bookmarkEnd w:id="2"/>
      <w:r w:rsidRPr="001E25D2">
        <w:rPr>
          <w:rFonts w:ascii="Times New Roman" w:hAnsi="Times New Roman" w:cs="Times New Roman"/>
          <w:b/>
          <w:sz w:val="24"/>
          <w:szCs w:val="24"/>
        </w:rPr>
        <w:t>НА ОЦЕНКАТА ПО ВСЕКИ ПОКАЗАТЕЛ</w:t>
      </w:r>
    </w:p>
    <w:p w14:paraId="47461FEC" w14:textId="77777777" w:rsidR="001E25D2" w:rsidRPr="001E25D2" w:rsidRDefault="001E25D2" w:rsidP="001E25D2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361B6" w14:textId="77777777" w:rsidR="00F55530" w:rsidRPr="001E25D2" w:rsidRDefault="00F55530" w:rsidP="001E25D2">
      <w:pPr>
        <w:pStyle w:val="Bodytext20"/>
        <w:numPr>
          <w:ilvl w:val="0"/>
          <w:numId w:val="1"/>
        </w:numPr>
        <w:shd w:val="clear" w:color="auto" w:fill="auto"/>
        <w:tabs>
          <w:tab w:val="left" w:pos="313"/>
        </w:tabs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5D2">
        <w:rPr>
          <w:rFonts w:ascii="Times New Roman" w:hAnsi="Times New Roman" w:cs="Times New Roman"/>
          <w:b/>
          <w:sz w:val="24"/>
          <w:szCs w:val="24"/>
        </w:rPr>
        <w:t xml:space="preserve">Показател П1 „ТЕХНИЧЕСКО ПРЕДЛОЖЕНИЕ ЗА ИЗПЪЛНЕНИЕ НА </w:t>
      </w:r>
      <w:r w:rsidRPr="001E25D2">
        <w:rPr>
          <w:rFonts w:ascii="Times New Roman" w:hAnsi="Times New Roman" w:cs="Times New Roman"/>
          <w:b/>
          <w:sz w:val="24"/>
          <w:szCs w:val="24"/>
        </w:rPr>
        <w:lastRenderedPageBreak/>
        <w:t>ПОРЪЧКАТА” (Тп)</w:t>
      </w:r>
    </w:p>
    <w:p w14:paraId="44446590" w14:textId="69A9BFBD" w:rsidR="00F55530" w:rsidRPr="001E25D2" w:rsidRDefault="00F55530" w:rsidP="001E25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5D2">
        <w:rPr>
          <w:rFonts w:ascii="Times New Roman" w:hAnsi="Times New Roman" w:cs="Times New Roman"/>
          <w:b/>
          <w:sz w:val="24"/>
          <w:szCs w:val="24"/>
        </w:rPr>
        <w:t xml:space="preserve">Максимален брой точки по показателя – </w:t>
      </w:r>
      <w:r w:rsidRPr="001E25D2">
        <w:rPr>
          <w:rStyle w:val="Bodytext2Bold"/>
          <w:rFonts w:cs="Times New Roman"/>
          <w:szCs w:val="24"/>
        </w:rPr>
        <w:t xml:space="preserve">50 </w:t>
      </w:r>
      <w:r w:rsidRPr="001E25D2">
        <w:rPr>
          <w:rFonts w:ascii="Times New Roman" w:hAnsi="Times New Roman" w:cs="Times New Roman"/>
          <w:b/>
          <w:sz w:val="24"/>
          <w:szCs w:val="24"/>
        </w:rPr>
        <w:t xml:space="preserve">точки. </w:t>
      </w:r>
    </w:p>
    <w:p w14:paraId="0EF90F92" w14:textId="77777777" w:rsidR="00F55530" w:rsidRPr="001E25D2" w:rsidRDefault="00F55530" w:rsidP="001E25D2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5D2">
        <w:rPr>
          <w:rFonts w:ascii="Times New Roman" w:hAnsi="Times New Roman" w:cs="Times New Roman"/>
          <w:sz w:val="24"/>
          <w:szCs w:val="24"/>
          <w:lang w:val="bg-BG"/>
        </w:rPr>
        <w:t>С предложената методика се оценява разпределение на ресурсите и организация на екипа на всяка оферта в съответствие с предмета на обществената поръчка и се дава възможност да бъдат сравнени и оценени обективно техническите предложения на кандидатите.</w:t>
      </w:r>
    </w:p>
    <w:p w14:paraId="6B50C43C" w14:textId="634BAFF2" w:rsidR="00F55530" w:rsidRPr="001E25D2" w:rsidRDefault="00F55530" w:rsidP="001E25D2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5D2">
        <w:rPr>
          <w:rFonts w:ascii="Times New Roman" w:hAnsi="Times New Roman" w:cs="Times New Roman"/>
          <w:sz w:val="24"/>
          <w:szCs w:val="24"/>
          <w:lang w:val="bg-BG"/>
        </w:rPr>
        <w:t>Оценката на техническото предложение се извършва по точковата система на оценяване по скалата посочена по-долу. То трябва задължително да e съобразено с Техническите спецификации.</w:t>
      </w:r>
    </w:p>
    <w:p w14:paraId="52F071C9" w14:textId="7CFF256D" w:rsidR="00F55530" w:rsidRPr="001E25D2" w:rsidRDefault="00F55530" w:rsidP="001E25D2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5D2">
        <w:rPr>
          <w:rFonts w:ascii="Times New Roman" w:hAnsi="Times New Roman" w:cs="Times New Roman"/>
          <w:b/>
          <w:sz w:val="24"/>
          <w:szCs w:val="24"/>
          <w:lang w:val="bg-BG"/>
        </w:rPr>
        <w:t>В Техническо предложение за изпълнение на поръчката ще бъде оценяван качествен критерий – „Разпределение на ресурсите и организация на екипа при изпълнение на дейностите в обхвата на поръчката“:</w:t>
      </w:r>
    </w:p>
    <w:p w14:paraId="4DDDA2ED" w14:textId="60BE3B8B" w:rsidR="00F55530" w:rsidRPr="001E25D2" w:rsidRDefault="00F55530" w:rsidP="001E25D2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5D2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Разпределение на ресурсите и организация на екипа при изпълнение на дейностите в обхвата на поръчката: </w:t>
      </w:r>
    </w:p>
    <w:p w14:paraId="4D176DE0" w14:textId="5DDC1FD6" w:rsidR="00F55530" w:rsidRPr="001E25D2" w:rsidRDefault="00F55530" w:rsidP="001E25D2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5D2">
        <w:rPr>
          <w:rFonts w:ascii="Times New Roman" w:hAnsi="Times New Roman" w:cs="Times New Roman"/>
          <w:sz w:val="24"/>
          <w:szCs w:val="24"/>
          <w:lang w:val="bg-BG"/>
        </w:rPr>
        <w:t>В техническото предложение участниците следва да представят разпределението на ресурсите за изпълнение на поръчката; разпределението на задачите и отговорностите на отделните експерти съгласно планираните дейности и методите на координация и комуникация с Възложителя; мерките за осигуряване на качеството; методите за съгласуване на дейностите и други организационни аспекти, които са необходими за качественото и срочно изпълнение на възложената поръчка.</w:t>
      </w:r>
    </w:p>
    <w:p w14:paraId="031F15C3" w14:textId="4E1D874B" w:rsidR="00F55530" w:rsidRPr="001E25D2" w:rsidRDefault="00F55530" w:rsidP="001E25D2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5D2">
        <w:rPr>
          <w:rFonts w:ascii="Times New Roman" w:hAnsi="Times New Roman" w:cs="Times New Roman"/>
          <w:sz w:val="24"/>
          <w:szCs w:val="24"/>
          <w:lang w:val="bg-BG"/>
        </w:rPr>
        <w:t xml:space="preserve">Участниците следва да предложат организация на екипа за изпълнение на поръчката, която считат за най-подходящи, в съответствие с обхвата на поръчката и заложените цели и резултати. Участниците следва да представят начина на изпълнение на поръчката за всяка от дейностите, включени в обхвата на поръчката (Техническата спецификация) и разпределение на дейностите и отговорностите на експертите. </w:t>
      </w:r>
    </w:p>
    <w:p w14:paraId="436C6C4A" w14:textId="2D987DC4" w:rsidR="00F55530" w:rsidRPr="001E25D2" w:rsidRDefault="00F55530" w:rsidP="001E25D2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5D2">
        <w:rPr>
          <w:rFonts w:ascii="Times New Roman" w:hAnsi="Times New Roman" w:cs="Times New Roman"/>
          <w:b/>
          <w:sz w:val="24"/>
          <w:szCs w:val="24"/>
          <w:lang w:val="bg-BG"/>
        </w:rPr>
        <w:t>Показател П1 – Техническо предложение за изпълнение на поръчката (Тп) получава максимум 50 точки по скалата за оценка, посочена по-долу.</w:t>
      </w:r>
    </w:p>
    <w:p w14:paraId="31832FF2" w14:textId="77777777" w:rsidR="00F55530" w:rsidRPr="001E25D2" w:rsidRDefault="00F55530" w:rsidP="001E25D2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1E2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Офертите на участниците, които отговарят на изисквания на възложителя се подлагат на анализ и се оценяват по следния качествен критерий: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5"/>
        <w:gridCol w:w="1575"/>
      </w:tblGrid>
      <w:tr w:rsidR="00E93BAA" w:rsidRPr="001937ED" w14:paraId="5C481982" w14:textId="77777777" w:rsidTr="004B3FB8">
        <w:trPr>
          <w:cantSplit/>
          <w:trHeight w:val="515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7CA8" w14:textId="77777777" w:rsidR="00E93BAA" w:rsidRPr="001937ED" w:rsidRDefault="00E93BAA" w:rsidP="004B3FB8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b/>
                <w:bCs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b/>
                <w:bCs/>
                <w:sz w:val="24"/>
                <w:lang w:val="bg-BG"/>
              </w:rPr>
              <w:lastRenderedPageBreak/>
              <w:t>„Разпределение на ресурсите и организация на екипа при изпълнение на дейностите в обхвата на поръчката“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F56C" w14:textId="77777777" w:rsidR="00E93BAA" w:rsidRPr="001937ED" w:rsidRDefault="00E93BAA" w:rsidP="004B3FB8">
            <w:pPr>
              <w:widowControl w:val="0"/>
              <w:tabs>
                <w:tab w:val="left" w:pos="656"/>
              </w:tabs>
              <w:autoSpaceDE w:val="0"/>
              <w:autoSpaceDN w:val="0"/>
              <w:adjustRightInd w:val="0"/>
              <w:ind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b/>
                <w:sz w:val="24"/>
              </w:rPr>
              <w:t xml:space="preserve">Конкретна оценка, </w:t>
            </w:r>
            <w:r w:rsidRPr="001937ED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брой </w:t>
            </w:r>
            <w:r w:rsidRPr="001937ED">
              <w:rPr>
                <w:rFonts w:ascii="Times New Roman" w:hAnsi="Times New Roman" w:cs="Times New Roman"/>
                <w:b/>
                <w:sz w:val="24"/>
              </w:rPr>
              <w:t>точки</w:t>
            </w:r>
          </w:p>
        </w:tc>
      </w:tr>
      <w:tr w:rsidR="00E93BAA" w:rsidRPr="001937ED" w14:paraId="22120420" w14:textId="77777777" w:rsidTr="004B3FB8">
        <w:trPr>
          <w:trHeight w:val="2697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B245" w14:textId="6B5A7E62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Предложената от участника организация на изпълнението на поръчката осигурява изпълнението на минималните изисквания на Възложителя, посочени в Техническата спецификация, а именно: </w:t>
            </w:r>
          </w:p>
          <w:p w14:paraId="5C7F7B39" w14:textId="09AF6972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- Участникът е предложил организация на работата на екипа от експерти, посочил е как се разпределят отговорностите и дейностите между тях, методите за осъществяване на комуникацията с Възложителя, координация и съгласуване на дейностите и други организационни аспекти, които са необходими за качественото и срочно изпълнение на възложената поръчка. </w:t>
            </w:r>
          </w:p>
          <w:p w14:paraId="21A71353" w14:textId="77777777" w:rsidR="00E93BAA" w:rsidRPr="001937ED" w:rsidRDefault="00E93BAA" w:rsidP="004B3FB8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>- Участникът е представил описание на начина на изпълнение на поръчката.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13EC" w14:textId="77777777" w:rsidR="00E93BAA" w:rsidRPr="001937ED" w:rsidRDefault="00E93BAA" w:rsidP="004B3FB8">
            <w:pPr>
              <w:widowControl w:val="0"/>
              <w:tabs>
                <w:tab w:val="left" w:pos="656"/>
              </w:tabs>
              <w:autoSpaceDE w:val="0"/>
              <w:autoSpaceDN w:val="0"/>
              <w:adjustRightInd w:val="0"/>
              <w:ind w:hanging="34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>30 т.</w:t>
            </w:r>
          </w:p>
        </w:tc>
      </w:tr>
      <w:tr w:rsidR="00E93BAA" w:rsidRPr="001937ED" w14:paraId="4A04E5B1" w14:textId="77777777" w:rsidTr="004B3FB8">
        <w:trPr>
          <w:trHeight w:val="117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11E4" w14:textId="296CE700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Предложената от участника организация на изпълнението на поръчката осигурява изпълнението на минималните изисквания на Възложителя, посочени в Техническата спецификация, а именно: </w:t>
            </w:r>
          </w:p>
          <w:p w14:paraId="7B837073" w14:textId="51E6A166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- Участникът е предложил организация на работата на екипа от експерти, посочил е как се разпределят отговорностите и дейностите между тях, методите за осъществяване на комуникацията с Възложителя, координация и съгласуване на дейностите и други организационни аспекти, които са необходими за качественото и срочно изпълнение на възложената поръчка. </w:t>
            </w:r>
          </w:p>
          <w:p w14:paraId="07317E28" w14:textId="17CA9AF4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>- Участникът е представил описание на начина на изпълнение на поръчката.</w:t>
            </w:r>
          </w:p>
          <w:p w14:paraId="69877200" w14:textId="52A72E66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Техническото предложение надгражда минималните изисквания на Възложителя, посочени в Техническата спецификация при условие, че е налично </w:t>
            </w:r>
            <w:r w:rsidRPr="001937ED">
              <w:rPr>
                <w:rFonts w:ascii="Times New Roman" w:hAnsi="Times New Roman" w:cs="Times New Roman"/>
                <w:b/>
                <w:sz w:val="24"/>
                <w:lang w:val="bg-BG"/>
              </w:rPr>
              <w:t>ЕДНО</w:t>
            </w: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 от следните обстоятелства:</w:t>
            </w:r>
          </w:p>
          <w:p w14:paraId="417ECA89" w14:textId="72ABDBE3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1. За всяка от дейностите е показано разпределението по експерти (кой какво ще изпълнява) на ниво отделна задача </w:t>
            </w:r>
            <w:r w:rsidRPr="001937ED">
              <w:rPr>
                <w:rFonts w:ascii="Times New Roman" w:hAnsi="Times New Roman" w:cs="Times New Roman"/>
                <w:i/>
                <w:sz w:val="24"/>
                <w:lang w:val="bg-BG"/>
              </w:rPr>
              <w:t>(за целите на настоящата методика под „задача“ се разбира обособена част от дефинирана дейност, която може да бъде самостоятелно възлагана на отделен експерт и чието изпълнение може да се проследи еднозначно, т.е. има дефинирани начало и край и измерими резултати)</w:t>
            </w: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>;</w:t>
            </w:r>
          </w:p>
          <w:p w14:paraId="382CB0E1" w14:textId="77777777" w:rsidR="00E93BAA" w:rsidRPr="001937ED" w:rsidRDefault="00E93BAA" w:rsidP="004B3FB8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2. За всяка дейност са дефинирани необходимите ресурси за нейното изпълнение </w:t>
            </w: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lastRenderedPageBreak/>
              <w:t>(информация, документи, срещи с Възложителя, срещи със заинтересовани страни и др.) и задълженията на отговорния/те за изпълнението й експерти.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69AD" w14:textId="77777777" w:rsidR="00E93BAA" w:rsidRPr="001937ED" w:rsidRDefault="00E93BAA" w:rsidP="004B3FB8">
            <w:pPr>
              <w:widowControl w:val="0"/>
              <w:tabs>
                <w:tab w:val="left" w:pos="656"/>
              </w:tabs>
              <w:autoSpaceDE w:val="0"/>
              <w:autoSpaceDN w:val="0"/>
              <w:adjustRightInd w:val="0"/>
              <w:ind w:hanging="34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lastRenderedPageBreak/>
              <w:t>40 т.</w:t>
            </w:r>
          </w:p>
        </w:tc>
      </w:tr>
      <w:tr w:rsidR="00E93BAA" w:rsidRPr="001937ED" w14:paraId="47C8961E" w14:textId="77777777" w:rsidTr="004B3FB8">
        <w:trPr>
          <w:trHeight w:val="117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72CE" w14:textId="461F95B1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Предложената от участника организация на изпълнението на поръчката осигурява изпълнението на минималните изисквания на Възложителя, посочени в Техническата спецификация, а именно: </w:t>
            </w:r>
          </w:p>
          <w:p w14:paraId="44E93BDE" w14:textId="44BE7573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- Участникът е предложил организация на работата на екипа от експерти, посочил е как се разпределят отговорностите и дейностите между тях, методите за осъществяване на комуникацията с Възложителя, координация и съгласуване на дейностите и други организационни аспекти, които са необходими за качественото и срочно изпълнение на възложената поръчка. </w:t>
            </w:r>
          </w:p>
          <w:p w14:paraId="21C10014" w14:textId="59ACA7EC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- Участникът е представил описание на начина на изпълнение на поръчката.  </w:t>
            </w:r>
          </w:p>
          <w:p w14:paraId="042CC900" w14:textId="77777777" w:rsidR="00E93BAA" w:rsidRPr="001937ED" w:rsidRDefault="00E93BAA" w:rsidP="004B3FB8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Техническото предложение надгражда минималните изисквания на Възложителя, посочени в Техническата спецификация при условие, че са налични </w:t>
            </w:r>
            <w:r w:rsidRPr="001937ED">
              <w:rPr>
                <w:rFonts w:ascii="Times New Roman" w:hAnsi="Times New Roman" w:cs="Times New Roman"/>
                <w:b/>
                <w:sz w:val="24"/>
                <w:lang w:val="bg-BG"/>
              </w:rPr>
              <w:t>ДВЕ</w:t>
            </w: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 от следните обстоятелства:</w:t>
            </w:r>
          </w:p>
          <w:p w14:paraId="1E560395" w14:textId="4FB2FF32" w:rsidR="00E93BAA" w:rsidRPr="001937ED" w:rsidRDefault="00E93BAA" w:rsidP="00AB7C67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 xml:space="preserve">1. За всяка от дейностите е показано разпределението по експерти (кой какво ще изпълнява) на ниво отделна задача </w:t>
            </w:r>
            <w:r w:rsidRPr="001937ED">
              <w:rPr>
                <w:rFonts w:ascii="Times New Roman" w:hAnsi="Times New Roman" w:cs="Times New Roman"/>
                <w:i/>
                <w:sz w:val="24"/>
                <w:lang w:val="bg-BG"/>
              </w:rPr>
              <w:t>(за целите на настоящата методика под „задача“ се разбира обособена част от дефинирана дейност, която може да бъде самостоятелно възлагана на отделен експерт и чието изпълнение може да се проследи еднозначно, т.е. има дефинирани начало и край и измерими резултати)</w:t>
            </w: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>;</w:t>
            </w:r>
          </w:p>
          <w:p w14:paraId="64D43588" w14:textId="77777777" w:rsidR="00E93BAA" w:rsidRPr="001937ED" w:rsidRDefault="00E93BAA" w:rsidP="004B3FB8">
            <w:pPr>
              <w:widowControl w:val="0"/>
              <w:tabs>
                <w:tab w:val="left" w:pos="741"/>
              </w:tabs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>2. За всяка дейност са дефинирани необходимите ресурси за нейното изпълнение (информация, документи, срещи с Възложителя, срещи със заинтересовани страни и др.) и задълженията на отговорния/те за изпълнението й експерти.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8A68" w14:textId="77777777" w:rsidR="00E93BAA" w:rsidRPr="001937ED" w:rsidRDefault="00E93BAA" w:rsidP="004B3FB8">
            <w:pPr>
              <w:widowControl w:val="0"/>
              <w:tabs>
                <w:tab w:val="left" w:pos="656"/>
              </w:tabs>
              <w:autoSpaceDE w:val="0"/>
              <w:autoSpaceDN w:val="0"/>
              <w:adjustRightInd w:val="0"/>
              <w:ind w:hanging="34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 w:rsidRPr="001937ED">
              <w:rPr>
                <w:rFonts w:ascii="Times New Roman" w:hAnsi="Times New Roman" w:cs="Times New Roman"/>
                <w:sz w:val="24"/>
                <w:lang w:val="bg-BG"/>
              </w:rPr>
              <w:t>50 т.</w:t>
            </w:r>
          </w:p>
        </w:tc>
      </w:tr>
    </w:tbl>
    <w:p w14:paraId="724DFB86" w14:textId="77777777" w:rsidR="00AB7C67" w:rsidRPr="001937ED" w:rsidRDefault="00AB7C67" w:rsidP="00E93BAA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sz w:val="24"/>
          <w:lang w:val="bg-BG"/>
        </w:rPr>
      </w:pPr>
    </w:p>
    <w:p w14:paraId="2AB7FB9B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lang w:val="bg-BG"/>
        </w:rPr>
      </w:pPr>
      <w:r w:rsidRPr="002378AD">
        <w:rPr>
          <w:rFonts w:ascii="Times New Roman" w:eastAsia="Calibri" w:hAnsi="Times New Roman" w:cs="Times New Roman"/>
          <w:b/>
          <w:i/>
          <w:sz w:val="24"/>
          <w:lang w:val="bg-BG"/>
        </w:rPr>
        <w:t>Предложения относно разпределението на задачите и отговорностите между предлаганите експерти, които не отговарят на техническото задание и минималните изисквания към съдържанието на този показател или ако липсва тази съставна част от техническото предложение или ако има несъответствие и/или разминаване между отделните елементи на техническото предложение следва да бъдат предложени за отстраняване.</w:t>
      </w:r>
    </w:p>
    <w:p w14:paraId="6F3C45D8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765055D1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2378AD">
        <w:rPr>
          <w:rFonts w:ascii="Times New Roman" w:hAnsi="Times New Roman" w:cs="Times New Roman"/>
          <w:b/>
          <w:sz w:val="24"/>
          <w:lang w:val="bg-BG"/>
        </w:rPr>
        <w:t>„Неподходяща оферта“</w:t>
      </w:r>
      <w:r w:rsidRPr="002378AD">
        <w:rPr>
          <w:rFonts w:ascii="Times New Roman" w:hAnsi="Times New Roman" w:cs="Times New Roman"/>
          <w:sz w:val="24"/>
          <w:lang w:val="bg-BG"/>
        </w:rPr>
        <w:t xml:space="preserve"> е оферта, която не отговаря на техническите спецификации и на </w:t>
      </w:r>
      <w:r w:rsidRPr="002378AD">
        <w:rPr>
          <w:rFonts w:ascii="Times New Roman" w:hAnsi="Times New Roman" w:cs="Times New Roman"/>
          <w:sz w:val="24"/>
          <w:lang w:val="bg-BG"/>
        </w:rPr>
        <w:lastRenderedPageBreak/>
        <w:t xml:space="preserve">изискванията за изпълнение на поръчката или е подадена от участник, който не отговаря на поставените критерии за подбор или за когото е налице някое от посочените в процедурата основания за отстраняване. </w:t>
      </w:r>
    </w:p>
    <w:p w14:paraId="02F937ED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2DE34276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lang w:val="bg-BG"/>
        </w:rPr>
      </w:pPr>
      <w:r w:rsidRPr="002378AD">
        <w:rPr>
          <w:rFonts w:ascii="Times New Roman" w:eastAsia="Calibri" w:hAnsi="Times New Roman" w:cs="Times New Roman"/>
          <w:b/>
          <w:i/>
          <w:sz w:val="24"/>
          <w:lang w:val="bg-BG"/>
        </w:rPr>
        <w:t>Ако се констатира, че дадена оферта попада в обхвата на посочената дефиниция за „неподходяща оферта“, участникът, представил офертата се отстранява от участие в обществената поръчка на това основание.</w:t>
      </w:r>
    </w:p>
    <w:p w14:paraId="027967AA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</w:p>
    <w:p w14:paraId="068A911F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2378AD">
        <w:rPr>
          <w:rFonts w:ascii="Times New Roman" w:hAnsi="Times New Roman" w:cs="Times New Roman"/>
          <w:b/>
          <w:sz w:val="24"/>
          <w:u w:val="single"/>
          <w:lang w:val="bg-BG"/>
        </w:rPr>
        <w:t>ВАЖНО:</w:t>
      </w:r>
      <w:r w:rsidRPr="002378AD">
        <w:rPr>
          <w:rFonts w:ascii="Times New Roman" w:hAnsi="Times New Roman" w:cs="Times New Roman"/>
          <w:sz w:val="24"/>
          <w:lang w:val="bg-BG"/>
        </w:rPr>
        <w:t xml:space="preserve"> </w:t>
      </w:r>
      <w:r w:rsidRPr="002378AD">
        <w:rPr>
          <w:rFonts w:ascii="Times New Roman" w:hAnsi="Times New Roman" w:cs="Times New Roman"/>
          <w:bCs/>
          <w:sz w:val="24"/>
          <w:lang w:val="bg-BG"/>
        </w:rPr>
        <w:t>Участникът следва да разработи и представи график, изготвен съобразно Техническото му предложение, Техническата спецификация и в съответствие с действащата нормативна уредба. В графика следва да е налице съответстващо разпределение на времето между различните процеси, съставящи отделните дейности, при отчитане и на времето необходимо за провеждане на нормативно изисквани процедури, като е посочена и необходимата работна сила за изпълнението на всеки процес.</w:t>
      </w:r>
      <w:r w:rsidRPr="002378AD">
        <w:rPr>
          <w:rFonts w:ascii="Times New Roman" w:hAnsi="Times New Roman" w:cs="Times New Roman"/>
          <w:sz w:val="24"/>
          <w:lang w:val="bg-BG"/>
        </w:rPr>
        <w:t xml:space="preserve"> </w:t>
      </w:r>
    </w:p>
    <w:p w14:paraId="0CEDF3C3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1FAD2B5E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lang w:val="bg-BG"/>
        </w:rPr>
      </w:pPr>
      <w:r w:rsidRPr="002378AD">
        <w:rPr>
          <w:rFonts w:ascii="Times New Roman" w:hAnsi="Times New Roman" w:cs="Times New Roman"/>
          <w:b/>
          <w:i/>
          <w:color w:val="000000" w:themeColor="text1"/>
          <w:sz w:val="24"/>
          <w:lang w:val="bg-BG"/>
        </w:rPr>
        <w:t>При констатирано разминаване между линейния график и който и да е от елементите на техническото предложение на участника, същият ще бъде отстранен.</w:t>
      </w:r>
    </w:p>
    <w:p w14:paraId="51656DD2" w14:textId="77777777" w:rsidR="002378AD" w:rsidRPr="002378AD" w:rsidRDefault="002378AD" w:rsidP="002378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32FED6" w14:textId="77777777" w:rsidR="002378AD" w:rsidRPr="002378AD" w:rsidRDefault="002378AD" w:rsidP="002378A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2378AD">
        <w:rPr>
          <w:rFonts w:ascii="Times New Roman" w:hAnsi="Times New Roman" w:cs="Times New Roman"/>
          <w:b/>
          <w:color w:val="000000" w:themeColor="text1"/>
          <w:sz w:val="24"/>
        </w:rPr>
        <w:t>2. Показател П2 „</w:t>
      </w:r>
      <w:r w:rsidRPr="002378AD">
        <w:rPr>
          <w:rFonts w:ascii="Times New Roman" w:hAnsi="Times New Roman" w:cs="Times New Roman"/>
          <w:b/>
          <w:color w:val="000000" w:themeColor="text1"/>
          <w:sz w:val="24"/>
          <w:lang w:val="bg-BG"/>
        </w:rPr>
        <w:t>ПРЕДЛАГАНА ЦЕНА</w:t>
      </w:r>
      <w:r w:rsidRPr="002378AD">
        <w:rPr>
          <w:rFonts w:ascii="Times New Roman" w:hAnsi="Times New Roman" w:cs="Times New Roman"/>
          <w:b/>
          <w:color w:val="000000" w:themeColor="text1"/>
          <w:sz w:val="24"/>
        </w:rPr>
        <w:t>” (</w:t>
      </w:r>
      <w:r w:rsidRPr="002378AD">
        <w:rPr>
          <w:rFonts w:ascii="Times New Roman" w:hAnsi="Times New Roman" w:cs="Times New Roman"/>
          <w:b/>
          <w:color w:val="000000" w:themeColor="text1"/>
          <w:sz w:val="24"/>
          <w:lang w:val="bg-BG"/>
        </w:rPr>
        <w:t>Пц</w:t>
      </w:r>
      <w:r w:rsidRPr="002378AD">
        <w:rPr>
          <w:rFonts w:ascii="Times New Roman" w:hAnsi="Times New Roman" w:cs="Times New Roman"/>
          <w:b/>
          <w:color w:val="000000" w:themeColor="text1"/>
          <w:sz w:val="24"/>
        </w:rPr>
        <w:t>)</w:t>
      </w:r>
    </w:p>
    <w:p w14:paraId="2E6720A6" w14:textId="77777777" w:rsidR="002378AD" w:rsidRPr="002378AD" w:rsidRDefault="002378AD" w:rsidP="00237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bg-BG"/>
        </w:rPr>
      </w:pPr>
      <w:r w:rsidRPr="002378AD">
        <w:rPr>
          <w:rFonts w:ascii="Times New Roman" w:hAnsi="Times New Roman" w:cs="Times New Roman"/>
          <w:color w:val="000000" w:themeColor="text1"/>
          <w:sz w:val="24"/>
        </w:rPr>
        <w:t xml:space="preserve">До оценка по този показател се допускат само оферти, които съответстват на условията за изпълнение на обществената поръчка. </w:t>
      </w:r>
      <w:r w:rsidRPr="002378AD">
        <w:rPr>
          <w:rFonts w:ascii="Times New Roman" w:hAnsi="Times New Roman" w:cs="Times New Roman"/>
          <w:b/>
          <w:color w:val="000000" w:themeColor="text1"/>
          <w:sz w:val="24"/>
        </w:rPr>
        <w:t>Максимален</w:t>
      </w:r>
      <w:r w:rsidRPr="002378AD">
        <w:rPr>
          <w:rFonts w:ascii="Times New Roman" w:hAnsi="Times New Roman" w:cs="Times New Roman"/>
          <w:b/>
          <w:sz w:val="24"/>
        </w:rPr>
        <w:t xml:space="preserve"> брой точки по показателя – </w:t>
      </w:r>
      <w:r w:rsidRPr="002378AD">
        <w:rPr>
          <w:rFonts w:ascii="Times New Roman" w:hAnsi="Times New Roman" w:cs="Times New Roman"/>
          <w:b/>
          <w:sz w:val="24"/>
          <w:lang w:val="bg-BG"/>
        </w:rPr>
        <w:t>50</w:t>
      </w:r>
      <w:r w:rsidRPr="002378AD">
        <w:rPr>
          <w:rFonts w:ascii="Times New Roman" w:hAnsi="Times New Roman" w:cs="Times New Roman"/>
          <w:b/>
          <w:sz w:val="24"/>
        </w:rPr>
        <w:t xml:space="preserve"> точки.</w:t>
      </w:r>
      <w:r w:rsidRPr="002378AD">
        <w:rPr>
          <w:rFonts w:ascii="Times New Roman" w:hAnsi="Times New Roman" w:cs="Times New Roman"/>
          <w:sz w:val="24"/>
        </w:rPr>
        <w:t xml:space="preserve"> </w:t>
      </w:r>
    </w:p>
    <w:p w14:paraId="455C5007" w14:textId="77777777" w:rsidR="002378AD" w:rsidRPr="002378AD" w:rsidRDefault="002378AD" w:rsidP="002378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1770094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bg-BG"/>
        </w:rPr>
      </w:pPr>
      <w:r w:rsidRPr="002378AD">
        <w:rPr>
          <w:rFonts w:ascii="Times New Roman" w:hAnsi="Times New Roman" w:cs="Times New Roman"/>
          <w:color w:val="000000" w:themeColor="text1"/>
          <w:sz w:val="24"/>
          <w:lang w:val="bg-BG"/>
        </w:rPr>
        <w:t>Максималният брой точки по този показател получава офертата с предлагана най-ниска обща цена. Точките на останалите участници се определят в съотношение към най-ниската предложена цена по следната формула:</w:t>
      </w:r>
    </w:p>
    <w:p w14:paraId="4D5DCDAF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lang w:val="bg-BG"/>
        </w:rPr>
      </w:pPr>
    </w:p>
    <w:p w14:paraId="22A89AF4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lang w:val="bg-BG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4"/>
              <w:lang w:val="bg-BG"/>
            </w:rPr>
            <m:t>Пц=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color w:val="000000" w:themeColor="text1"/>
                  <w:sz w:val="24"/>
                  <w:lang w:val="bg-BG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00000" w:themeColor="text1"/>
                      <w:sz w:val="24"/>
                      <w:lang w:val="bg-BG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000000" w:themeColor="text1"/>
                          <w:sz w:val="24"/>
                          <w:lang w:val="bg-BG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lang w:val="bg-BG"/>
                        </w:rPr>
                        <m:t>Пц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lang w:val="bg-BG"/>
                        </w:rPr>
                        <m:t>min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000000" w:themeColor="text1"/>
                          <w:sz w:val="24"/>
                          <w:lang w:val="bg-BG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lang w:val="bg-BG"/>
                        </w:rPr>
                        <m:t>Пц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lang w:val="bg-BG"/>
                        </w:rPr>
                        <m:t>i</m:t>
                      </m:r>
                    </m:sup>
                  </m:sSup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4"/>
              <w:lang w:val="bg-BG"/>
            </w:rPr>
            <m:t>х50=...(бр. точки)</m:t>
          </m:r>
        </m:oMath>
      </m:oMathPara>
    </w:p>
    <w:p w14:paraId="394D428E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lang w:val="bg-BG"/>
        </w:rPr>
      </w:pPr>
      <w:r w:rsidRPr="002378AD">
        <w:rPr>
          <w:rFonts w:ascii="Times New Roman" w:hAnsi="Times New Roman" w:cs="Times New Roman"/>
          <w:color w:val="000000" w:themeColor="text1"/>
          <w:sz w:val="24"/>
          <w:lang w:val="bg-BG"/>
        </w:rPr>
        <w:t>Където:</w:t>
      </w:r>
    </w:p>
    <w:p w14:paraId="63FF191A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lang w:val="bg-BG"/>
        </w:rPr>
      </w:pPr>
      <w:r w:rsidRPr="002378AD">
        <w:rPr>
          <w:rFonts w:ascii="Times New Roman" w:hAnsi="Times New Roman" w:cs="Times New Roman"/>
          <w:b/>
          <w:color w:val="000000" w:themeColor="text1"/>
          <w:sz w:val="24"/>
          <w:lang w:val="bg-BG"/>
        </w:rPr>
        <w:t>Пц</w:t>
      </w:r>
      <w:r w:rsidRPr="002378AD">
        <w:rPr>
          <w:rFonts w:ascii="Times New Roman" w:hAnsi="Times New Roman" w:cs="Times New Roman"/>
          <w:b/>
          <w:color w:val="000000" w:themeColor="text1"/>
          <w:sz w:val="24"/>
          <w:vertAlign w:val="superscript"/>
          <w:lang w:val="bg-BG"/>
        </w:rPr>
        <w:t>min</w:t>
      </w:r>
      <w:r w:rsidRPr="002378AD">
        <w:rPr>
          <w:rFonts w:ascii="Times New Roman" w:hAnsi="Times New Roman" w:cs="Times New Roman"/>
          <w:color w:val="000000" w:themeColor="text1"/>
          <w:sz w:val="24"/>
          <w:lang w:val="bg-BG"/>
        </w:rPr>
        <w:t xml:space="preserve"> е минималната обща предложена цена;</w:t>
      </w:r>
    </w:p>
    <w:p w14:paraId="4C72DA47" w14:textId="77777777" w:rsidR="002378AD" w:rsidRPr="002378AD" w:rsidRDefault="002378AD" w:rsidP="002378AD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2378AD">
        <w:rPr>
          <w:rFonts w:ascii="Times New Roman" w:hAnsi="Times New Roman" w:cs="Times New Roman"/>
          <w:b/>
          <w:sz w:val="24"/>
          <w:lang w:val="bg-BG"/>
        </w:rPr>
        <w:t>Пц</w:t>
      </w:r>
      <w:r w:rsidRPr="002378AD">
        <w:rPr>
          <w:rFonts w:ascii="Times New Roman" w:hAnsi="Times New Roman" w:cs="Times New Roman"/>
          <w:b/>
          <w:sz w:val="24"/>
          <w:vertAlign w:val="superscript"/>
          <w:lang w:val="bg-BG"/>
        </w:rPr>
        <w:t>i</w:t>
      </w:r>
      <w:r w:rsidRPr="002378AD">
        <w:rPr>
          <w:rFonts w:ascii="Times New Roman" w:hAnsi="Times New Roman" w:cs="Times New Roman"/>
          <w:sz w:val="24"/>
          <w:lang w:val="bg-BG"/>
        </w:rPr>
        <w:t xml:space="preserve"> е общата цена предложена от i-тия участник;</w:t>
      </w:r>
    </w:p>
    <w:p w14:paraId="6D2CBBD8" w14:textId="77777777" w:rsidR="002378AD" w:rsidRPr="002378AD" w:rsidRDefault="002378AD" w:rsidP="002378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2F3671" w14:textId="77777777" w:rsidR="002378AD" w:rsidRPr="002378AD" w:rsidRDefault="002378AD" w:rsidP="002378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8AD">
        <w:rPr>
          <w:rFonts w:ascii="Times New Roman" w:hAnsi="Times New Roman" w:cs="Times New Roman"/>
          <w:sz w:val="24"/>
        </w:rPr>
        <w:t xml:space="preserve">Комисията изчислява точките с точност до втория знак след десетичната запетая. </w:t>
      </w:r>
    </w:p>
    <w:p w14:paraId="76487952" w14:textId="77777777" w:rsidR="002378AD" w:rsidRPr="002378AD" w:rsidRDefault="002378AD" w:rsidP="002378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5632AAF" w14:textId="77777777" w:rsidR="002378AD" w:rsidRPr="002378AD" w:rsidRDefault="002378AD" w:rsidP="002378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  <w:r w:rsidRPr="002378AD">
        <w:rPr>
          <w:rFonts w:ascii="Times New Roman" w:hAnsi="Times New Roman" w:cs="Times New Roman"/>
          <w:b/>
          <w:i/>
          <w:sz w:val="24"/>
        </w:rPr>
        <w:t>!!! В случай че комплексните оценки на две или повече оферти</w:t>
      </w:r>
      <w:r w:rsidRPr="002378AD">
        <w:rPr>
          <w:rFonts w:ascii="Times New Roman" w:hAnsi="Times New Roman" w:cs="Times New Roman"/>
          <w:b/>
          <w:i/>
          <w:sz w:val="24"/>
          <w:lang w:val="bg-BG"/>
        </w:rPr>
        <w:t xml:space="preserve"> </w:t>
      </w:r>
      <w:r w:rsidRPr="002378AD">
        <w:rPr>
          <w:rFonts w:ascii="Times New Roman" w:hAnsi="Times New Roman" w:cs="Times New Roman"/>
          <w:b/>
          <w:i/>
          <w:sz w:val="24"/>
        </w:rPr>
        <w:t>са равни, за определяне на изпълнител между класираните на първо място оферти се прилагат разпоредбите на чл. 58, ал. 2 и 3 от ППЗО</w:t>
      </w:r>
      <w:r w:rsidRPr="002378AD">
        <w:rPr>
          <w:rFonts w:ascii="Times New Roman" w:hAnsi="Times New Roman" w:cs="Times New Roman"/>
          <w:b/>
          <w:i/>
          <w:sz w:val="24"/>
          <w:lang w:val="bg-BG"/>
        </w:rPr>
        <w:t>П</w:t>
      </w:r>
    </w:p>
    <w:p w14:paraId="58696AFE" w14:textId="77777777" w:rsidR="002378AD" w:rsidRPr="00B36C0A" w:rsidRDefault="002378AD" w:rsidP="002378AD">
      <w:pPr>
        <w:spacing w:after="20"/>
        <w:jc w:val="both"/>
        <w:rPr>
          <w:b/>
          <w:i/>
          <w:lang w:val="bg-BG"/>
        </w:rPr>
      </w:pPr>
    </w:p>
    <w:p w14:paraId="4602E710" w14:textId="77777777" w:rsidR="00E93BAA" w:rsidRPr="00763A59" w:rsidRDefault="00E93BAA" w:rsidP="00763A59">
      <w:pPr>
        <w:jc w:val="right"/>
        <w:rPr>
          <w:rFonts w:ascii="Times New Roman" w:hAnsi="Times New Roman" w:cs="Times New Roman"/>
          <w:b/>
          <w:i/>
          <w:sz w:val="24"/>
          <w:lang w:val="bg-BG"/>
        </w:rPr>
      </w:pPr>
    </w:p>
    <w:sectPr w:rsidR="00E93BAA" w:rsidRPr="00763A5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B0232" w14:textId="77777777" w:rsidR="00453559" w:rsidRDefault="00453559" w:rsidP="00763A59">
      <w:pPr>
        <w:spacing w:after="0" w:line="240" w:lineRule="auto"/>
      </w:pPr>
      <w:r>
        <w:separator/>
      </w:r>
    </w:p>
  </w:endnote>
  <w:endnote w:type="continuationSeparator" w:id="0">
    <w:p w14:paraId="2C817FDB" w14:textId="77777777" w:rsidR="00453559" w:rsidRDefault="00453559" w:rsidP="0076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862E" w14:textId="1CF8AD07" w:rsidR="003054C8" w:rsidRPr="00E30BB0" w:rsidRDefault="00E30BB0" w:rsidP="00E30BB0">
    <w:pPr>
      <w:spacing w:after="120"/>
      <w:jc w:val="both"/>
      <w:rPr>
        <w:rFonts w:ascii="Times New Roman" w:hAnsi="Times New Roman" w:cs="Times New Roman"/>
        <w:i/>
        <w:color w:val="000000"/>
        <w:sz w:val="18"/>
        <w:szCs w:val="18"/>
      </w:rPr>
    </w:pPr>
    <w:r>
      <w:rPr>
        <w:rFonts w:ascii="Times New Roman" w:hAnsi="Times New Roman" w:cs="Times New Roman"/>
        <w:i/>
        <w:color w:val="000000"/>
        <w:sz w:val="18"/>
        <w:szCs w:val="18"/>
      </w:rPr>
      <w:t xml:space="preserve">Настоящата обществена поръчка е финансирана по проект: </w:t>
    </w:r>
    <w:r>
      <w:rPr>
        <w:rFonts w:ascii="Times New Roman" w:hAnsi="Times New Roman" w:cs="Times New Roman"/>
        <w:i/>
        <w:color w:val="000000"/>
        <w:sz w:val="18"/>
        <w:szCs w:val="18"/>
        <w:lang w:eastAsia="bg-BG"/>
      </w:rPr>
      <w:t xml:space="preserve">„Многофункционална спортна площадка за баскетбол, волейбол и мини-футбол в двора на НУ „Отец </w:t>
    </w:r>
    <w:proofErr w:type="gramStart"/>
    <w:r>
      <w:rPr>
        <w:rFonts w:ascii="Times New Roman" w:hAnsi="Times New Roman" w:cs="Times New Roman"/>
        <w:i/>
        <w:color w:val="000000"/>
        <w:sz w:val="18"/>
        <w:szCs w:val="18"/>
        <w:lang w:eastAsia="bg-BG"/>
      </w:rPr>
      <w:t>Паисий“</w:t>
    </w:r>
    <w:proofErr w:type="gramEnd"/>
    <w:r>
      <w:rPr>
        <w:rFonts w:ascii="Times New Roman" w:hAnsi="Times New Roman" w:cs="Times New Roman"/>
        <w:i/>
        <w:color w:val="000000"/>
        <w:sz w:val="18"/>
        <w:szCs w:val="18"/>
        <w:lang w:eastAsia="bg-BG"/>
      </w:rPr>
      <w:t>, гр. Симеоновград“</w:t>
    </w:r>
    <w:r>
      <w:rPr>
        <w:rFonts w:ascii="Times New Roman" w:eastAsia="Calibri" w:hAnsi="Times New Roman" w:cs="Times New Roman"/>
        <w:i/>
        <w:color w:val="000000"/>
        <w:sz w:val="18"/>
        <w:szCs w:val="18"/>
      </w:rPr>
      <w:t xml:space="preserve"> по </w:t>
    </w:r>
    <w:r>
      <w:rPr>
        <w:rFonts w:ascii="Times New Roman" w:hAnsi="Times New Roman" w:cs="Times New Roman"/>
        <w:bCs/>
        <w:i/>
        <w:color w:val="000000"/>
        <w:sz w:val="18"/>
        <w:szCs w:val="18"/>
      </w:rPr>
      <w:t xml:space="preserve">Договор </w:t>
    </w:r>
    <w:r>
      <w:rPr>
        <w:rFonts w:ascii="Times New Roman" w:hAnsi="Times New Roman" w:cs="Times New Roman"/>
        <w:i/>
        <w:sz w:val="18"/>
        <w:szCs w:val="18"/>
      </w:rPr>
      <w:t xml:space="preserve">№ </w:t>
    </w:r>
    <w:r>
      <w:rPr>
        <w:rFonts w:ascii="Times New Roman" w:hAnsi="Times New Roman" w:cs="Times New Roman"/>
        <w:i/>
        <w:color w:val="000000"/>
        <w:sz w:val="18"/>
        <w:szCs w:val="18"/>
        <w:lang w:eastAsia="bg-BG"/>
      </w:rPr>
      <w:t>BG06RDNP001-7.007-0026-C01/08.05.2019 г.</w:t>
    </w:r>
    <w:r>
      <w:rPr>
        <w:rFonts w:ascii="Times New Roman" w:hAnsi="Times New Roman" w:cs="Times New Roman"/>
        <w:i/>
        <w:sz w:val="18"/>
        <w:szCs w:val="18"/>
      </w:rPr>
      <w:t xml:space="preserve"> </w:t>
    </w:r>
    <w:r>
      <w:rPr>
        <w:rFonts w:ascii="Times New Roman" w:hAnsi="Times New Roman" w:cs="Times New Roman"/>
        <w:i/>
        <w:color w:val="000000"/>
        <w:sz w:val="18"/>
        <w:szCs w:val="18"/>
      </w:rPr>
      <w:t xml:space="preserve">за предоставяне на безвъзмездна финансова помощ по </w:t>
    </w:r>
    <w:r>
      <w:rPr>
        <w:rFonts w:ascii="Times New Roman" w:hAnsi="Times New Roman" w:cs="Times New Roman"/>
        <w:bCs/>
        <w:i/>
        <w:sz w:val="18"/>
        <w:szCs w:val="18"/>
      </w:rPr>
      <w:t xml:space="preserve">Процедура чрез подбор № BG06RDNP001-7.007 – Спорт „изграждане, реконструкция, ремонт, оборудване и/или обзавеждане на спортна инфраструктура“ по </w:t>
    </w:r>
    <w:r>
      <w:rPr>
        <w:rFonts w:ascii="Times New Roman" w:hAnsi="Times New Roman" w:cs="Times New Roman"/>
        <w:i/>
        <w:noProof/>
        <w:sz w:val="18"/>
        <w:szCs w:val="18"/>
        <w:lang w:eastAsia="bg-BG"/>
      </w:rPr>
      <w:t>подмярка</w:t>
    </w:r>
    <w:r>
      <w:rPr>
        <w:rFonts w:ascii="Times New Roman" w:hAnsi="Times New Roman" w:cs="Times New Roman"/>
        <w:i/>
        <w:sz w:val="18"/>
        <w:szCs w:val="18"/>
        <w:lang w:eastAsia="bg-BG"/>
      </w:rPr>
      <w:t xml:space="preserve"> 7.2. „Инвестиции в създаването, подобряването или разширяването на всички видове малка по мащаби </w:t>
    </w:r>
    <w:proofErr w:type="gramStart"/>
    <w:r>
      <w:rPr>
        <w:rFonts w:ascii="Times New Roman" w:hAnsi="Times New Roman" w:cs="Times New Roman"/>
        <w:i/>
        <w:sz w:val="18"/>
        <w:szCs w:val="18"/>
        <w:lang w:eastAsia="bg-BG"/>
      </w:rPr>
      <w:t>инфраструктура“ от</w:t>
    </w:r>
    <w:proofErr w:type="gramEnd"/>
    <w:r>
      <w:rPr>
        <w:rFonts w:ascii="Times New Roman" w:hAnsi="Times New Roman" w:cs="Times New Roman"/>
        <w:i/>
        <w:sz w:val="18"/>
        <w:szCs w:val="18"/>
        <w:lang w:eastAsia="bg-BG"/>
      </w:rPr>
      <w:t xml:space="preserve"> мярка 7 „Основни услуги и обновяване на селата в селски райони“</w:t>
    </w:r>
    <w:r>
      <w:rPr>
        <w:rFonts w:ascii="Times New Roman" w:eastAsia="Batang" w:hAnsi="Times New Roman" w:cs="Times New Roman"/>
        <w:i/>
        <w:color w:val="000000"/>
        <w:sz w:val="18"/>
        <w:szCs w:val="18"/>
        <w:lang w:eastAsia="ko-KR"/>
      </w:rPr>
      <w:t xml:space="preserve"> </w:t>
    </w:r>
    <w:r>
      <w:rPr>
        <w:rFonts w:ascii="Times New Roman" w:hAnsi="Times New Roman" w:cs="Times New Roman"/>
        <w:i/>
        <w:color w:val="000000"/>
        <w:sz w:val="18"/>
        <w:szCs w:val="18"/>
      </w:rPr>
      <w:t>от Програмата за развитие на селските райони за периода 2014 - 2020 г., съфинансирана от Европейския земеделски фонд за развитие на селските райони“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D81CD" w14:textId="77777777" w:rsidR="00453559" w:rsidRDefault="00453559" w:rsidP="00763A59">
      <w:pPr>
        <w:spacing w:after="0" w:line="240" w:lineRule="auto"/>
      </w:pPr>
      <w:r>
        <w:separator/>
      </w:r>
    </w:p>
  </w:footnote>
  <w:footnote w:type="continuationSeparator" w:id="0">
    <w:p w14:paraId="6F50112E" w14:textId="77777777" w:rsidR="00453559" w:rsidRDefault="00453559" w:rsidP="0076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809EB" w14:textId="617952D9" w:rsidR="00763A59" w:rsidRDefault="000D4C47">
    <w:pPr>
      <w:pStyle w:val="Header"/>
    </w:pPr>
    <w:r w:rsidRPr="00197E32">
      <w:rPr>
        <w:noProof/>
        <w:sz w:val="20"/>
        <w:szCs w:val="20"/>
        <w:lang w:eastAsia="bg-BG"/>
      </w:rPr>
      <w:drawing>
        <wp:anchor distT="0" distB="0" distL="114300" distR="114300" simplePos="0" relativeHeight="251665408" behindDoc="1" locked="0" layoutInCell="1" allowOverlap="1" wp14:anchorId="565E36DE" wp14:editId="62A02AA5">
          <wp:simplePos x="0" y="0"/>
          <wp:positionH relativeFrom="page">
            <wp:posOffset>3535680</wp:posOffset>
          </wp:positionH>
          <wp:positionV relativeFrom="paragraph">
            <wp:posOffset>137160</wp:posOffset>
          </wp:positionV>
          <wp:extent cx="906780" cy="754380"/>
          <wp:effectExtent l="0" t="0" r="762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93BAA" w:rsidRPr="00D4770E">
      <w:rPr>
        <w:noProof/>
      </w:rPr>
      <w:drawing>
        <wp:anchor distT="0" distB="0" distL="114300" distR="114300" simplePos="0" relativeHeight="251659264" behindDoc="1" locked="0" layoutInCell="1" allowOverlap="1" wp14:anchorId="0949CF03" wp14:editId="066C3FFA">
          <wp:simplePos x="0" y="0"/>
          <wp:positionH relativeFrom="column">
            <wp:posOffset>-68580</wp:posOffset>
          </wp:positionH>
          <wp:positionV relativeFrom="paragraph">
            <wp:posOffset>114300</wp:posOffset>
          </wp:positionV>
          <wp:extent cx="1965960" cy="723900"/>
          <wp:effectExtent l="0" t="0" r="0" b="0"/>
          <wp:wrapTight wrapText="bothSides">
            <wp:wrapPolygon edited="0">
              <wp:start x="419" y="1137"/>
              <wp:lineTo x="209" y="20463"/>
              <wp:lineTo x="10047" y="20463"/>
              <wp:lineTo x="13395" y="19326"/>
              <wp:lineTo x="19884" y="14211"/>
              <wp:lineTo x="20093" y="7958"/>
              <wp:lineTo x="18209" y="6253"/>
              <wp:lineTo x="10047" y="1137"/>
              <wp:lineTo x="419" y="113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78"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BAA">
      <w:rPr>
        <w:noProof/>
      </w:rPr>
      <w:drawing>
        <wp:anchor distT="0" distB="0" distL="114300" distR="114300" simplePos="0" relativeHeight="251663360" behindDoc="1" locked="0" layoutInCell="1" allowOverlap="1" wp14:anchorId="1D6D2679" wp14:editId="474D46FA">
          <wp:simplePos x="0" y="0"/>
          <wp:positionH relativeFrom="margin">
            <wp:align>right</wp:align>
          </wp:positionH>
          <wp:positionV relativeFrom="paragraph">
            <wp:posOffset>113665</wp:posOffset>
          </wp:positionV>
          <wp:extent cx="1718310" cy="693420"/>
          <wp:effectExtent l="0" t="0" r="0" b="0"/>
          <wp:wrapTight wrapText="bothSides">
            <wp:wrapPolygon edited="0">
              <wp:start x="0" y="0"/>
              <wp:lineTo x="0" y="20769"/>
              <wp:lineTo x="21313" y="20769"/>
              <wp:lineTo x="21313" y="0"/>
              <wp:lineTo x="0" y="0"/>
            </wp:wrapPolygon>
          </wp:wrapTight>
          <wp:docPr id="1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10F17"/>
    <w:multiLevelType w:val="multilevel"/>
    <w:tmpl w:val="5F4C5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EA"/>
    <w:rsid w:val="000D4C47"/>
    <w:rsid w:val="000F0E25"/>
    <w:rsid w:val="001222F2"/>
    <w:rsid w:val="00155B16"/>
    <w:rsid w:val="001606D8"/>
    <w:rsid w:val="001937ED"/>
    <w:rsid w:val="001E033B"/>
    <w:rsid w:val="001E0FD9"/>
    <w:rsid w:val="001E25D2"/>
    <w:rsid w:val="00223B84"/>
    <w:rsid w:val="002378AD"/>
    <w:rsid w:val="00253269"/>
    <w:rsid w:val="00276E26"/>
    <w:rsid w:val="00287881"/>
    <w:rsid w:val="002F1062"/>
    <w:rsid w:val="003054C8"/>
    <w:rsid w:val="00314100"/>
    <w:rsid w:val="003326EA"/>
    <w:rsid w:val="00345718"/>
    <w:rsid w:val="0038152C"/>
    <w:rsid w:val="00393F72"/>
    <w:rsid w:val="003B1149"/>
    <w:rsid w:val="003C7760"/>
    <w:rsid w:val="003E22F3"/>
    <w:rsid w:val="00453559"/>
    <w:rsid w:val="004862D9"/>
    <w:rsid w:val="004B339B"/>
    <w:rsid w:val="004C3ABF"/>
    <w:rsid w:val="00526532"/>
    <w:rsid w:val="00530D1F"/>
    <w:rsid w:val="00553107"/>
    <w:rsid w:val="005A6CF3"/>
    <w:rsid w:val="005B3AEE"/>
    <w:rsid w:val="005C2959"/>
    <w:rsid w:val="005D372E"/>
    <w:rsid w:val="005E6FA4"/>
    <w:rsid w:val="005F19EF"/>
    <w:rsid w:val="00624769"/>
    <w:rsid w:val="006509E1"/>
    <w:rsid w:val="006B3471"/>
    <w:rsid w:val="006E7577"/>
    <w:rsid w:val="006F7F23"/>
    <w:rsid w:val="007052F9"/>
    <w:rsid w:val="00763A59"/>
    <w:rsid w:val="007C1298"/>
    <w:rsid w:val="007F7E0D"/>
    <w:rsid w:val="008229D8"/>
    <w:rsid w:val="00822E12"/>
    <w:rsid w:val="00862602"/>
    <w:rsid w:val="00884B2B"/>
    <w:rsid w:val="008A0429"/>
    <w:rsid w:val="008A5AE0"/>
    <w:rsid w:val="008C5BF3"/>
    <w:rsid w:val="008E5BC7"/>
    <w:rsid w:val="0090348B"/>
    <w:rsid w:val="00931F3F"/>
    <w:rsid w:val="00971F4D"/>
    <w:rsid w:val="009E57E8"/>
    <w:rsid w:val="00A012CA"/>
    <w:rsid w:val="00A274CD"/>
    <w:rsid w:val="00AB7C67"/>
    <w:rsid w:val="00B22857"/>
    <w:rsid w:val="00B626EC"/>
    <w:rsid w:val="00B630CA"/>
    <w:rsid w:val="00C05C62"/>
    <w:rsid w:val="00C06668"/>
    <w:rsid w:val="00C171F7"/>
    <w:rsid w:val="00C26179"/>
    <w:rsid w:val="00C56624"/>
    <w:rsid w:val="00CD1AAB"/>
    <w:rsid w:val="00D06083"/>
    <w:rsid w:val="00D12214"/>
    <w:rsid w:val="00D32135"/>
    <w:rsid w:val="00D67801"/>
    <w:rsid w:val="00DB0654"/>
    <w:rsid w:val="00DE4621"/>
    <w:rsid w:val="00E30BB0"/>
    <w:rsid w:val="00E56832"/>
    <w:rsid w:val="00E6744A"/>
    <w:rsid w:val="00E93BAA"/>
    <w:rsid w:val="00EB10D0"/>
    <w:rsid w:val="00EB3B9B"/>
    <w:rsid w:val="00EF1E1E"/>
    <w:rsid w:val="00EF3692"/>
    <w:rsid w:val="00F05D18"/>
    <w:rsid w:val="00F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726ED"/>
  <w15:chartTrackingRefBased/>
  <w15:docId w15:val="{EC8CFDA7-FE23-42B0-99F3-4699E08B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A59"/>
  </w:style>
  <w:style w:type="paragraph" w:styleId="Footer">
    <w:name w:val="footer"/>
    <w:basedOn w:val="Normal"/>
    <w:link w:val="FooterChar"/>
    <w:uiPriority w:val="99"/>
    <w:unhideWhenUsed/>
    <w:rsid w:val="0076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59"/>
  </w:style>
  <w:style w:type="character" w:customStyle="1" w:styleId="Bodytext2Bold">
    <w:name w:val="Body text (2) + Bold"/>
    <w:rsid w:val="00E93BAA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bg-BG" w:eastAsia="bg-BG"/>
    </w:rPr>
  </w:style>
  <w:style w:type="character" w:customStyle="1" w:styleId="Bodytext2">
    <w:name w:val="Body text (2)_"/>
    <w:basedOn w:val="DefaultParagraphFont"/>
    <w:link w:val="Bodytext20"/>
    <w:rsid w:val="00E93BAA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93BAA"/>
    <w:pPr>
      <w:widowControl w:val="0"/>
      <w:shd w:val="clear" w:color="auto" w:fill="FFFFFF"/>
      <w:spacing w:before="460" w:after="0" w:line="269" w:lineRule="exact"/>
      <w:jc w:val="both"/>
    </w:pPr>
  </w:style>
  <w:style w:type="character" w:customStyle="1" w:styleId="Heading1">
    <w:name w:val="Heading #1_"/>
    <w:basedOn w:val="DefaultParagraphFont"/>
    <w:link w:val="Heading10"/>
    <w:rsid w:val="00E93BAA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E93BAA"/>
    <w:pPr>
      <w:widowControl w:val="0"/>
      <w:shd w:val="clear" w:color="auto" w:fill="FFFFFF"/>
      <w:spacing w:after="0" w:line="310" w:lineRule="exact"/>
      <w:jc w:val="center"/>
      <w:outlineLvl w:val="0"/>
    </w:pPr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7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7C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7C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7C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7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42FD0-4398-449A-A018-74D4903C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inami</dc:creator>
  <cp:keywords/>
  <dc:description/>
  <cp:lastModifiedBy>Ina Milkova</cp:lastModifiedBy>
  <cp:revision>244</cp:revision>
  <dcterms:created xsi:type="dcterms:W3CDTF">2019-06-30T19:10:00Z</dcterms:created>
  <dcterms:modified xsi:type="dcterms:W3CDTF">2020-01-17T11:12:00Z</dcterms:modified>
</cp:coreProperties>
</file>