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3A" w:rsidRPr="00C6383A" w:rsidRDefault="00C6383A" w:rsidP="00C6383A">
      <w:pPr>
        <w:shd w:val="clear" w:color="auto" w:fill="F0F0F0"/>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t>Деловодна информация</w:t>
      </w:r>
    </w:p>
    <w:tbl>
      <w:tblPr>
        <w:tblW w:w="21600" w:type="dxa"/>
        <w:tblCellMar>
          <w:top w:w="15" w:type="dxa"/>
          <w:left w:w="15" w:type="dxa"/>
          <w:bottom w:w="15" w:type="dxa"/>
          <w:right w:w="15" w:type="dxa"/>
        </w:tblCellMar>
        <w:tblLook w:val="04A0"/>
      </w:tblPr>
      <w:tblGrid>
        <w:gridCol w:w="7965"/>
        <w:gridCol w:w="13635"/>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Партида на възложителя: </w:t>
            </w:r>
            <w:r w:rsidRPr="00C6383A">
              <w:rPr>
                <w:rFonts w:ascii="Courier New" w:eastAsia="Times New Roman" w:hAnsi="Courier New" w:cs="Courier New"/>
                <w:sz w:val="20"/>
                <w:lang w:eastAsia="bg-BG"/>
              </w:rPr>
              <w:t>00638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Поделение:</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Изходящ номер: </w:t>
            </w:r>
            <w:r w:rsidRPr="00C6383A">
              <w:rPr>
                <w:rFonts w:ascii="Courier New" w:eastAsia="Times New Roman" w:hAnsi="Courier New" w:cs="Courier New"/>
                <w:sz w:val="20"/>
                <w:lang w:eastAsia="bg-BG"/>
              </w:rPr>
              <w:t>С-2207</w:t>
            </w:r>
            <w:r w:rsidRPr="00C6383A">
              <w:rPr>
                <w:rFonts w:ascii="Times New Roman" w:eastAsia="Times New Roman" w:hAnsi="Times New Roman" w:cs="Times New Roman"/>
                <w:sz w:val="24"/>
                <w:szCs w:val="24"/>
                <w:lang w:eastAsia="bg-BG"/>
              </w:rPr>
              <w:t> от дата: </w:t>
            </w:r>
            <w:r w:rsidRPr="00C6383A">
              <w:rPr>
                <w:rFonts w:ascii="Courier New" w:eastAsia="Times New Roman" w:hAnsi="Courier New" w:cs="Courier New"/>
                <w:sz w:val="20"/>
                <w:lang w:eastAsia="bg-BG"/>
              </w:rPr>
              <w:t>17/05/2018</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дд</w:t>
            </w:r>
            <w:proofErr w:type="spellEnd"/>
            <w:r w:rsidRPr="00C6383A">
              <w:rPr>
                <w:rFonts w:ascii="Times New Roman" w:eastAsia="Times New Roman" w:hAnsi="Times New Roman" w:cs="Times New Roman"/>
                <w:i/>
                <w:iCs/>
                <w:sz w:val="24"/>
                <w:szCs w:val="24"/>
                <w:lang w:eastAsia="bg-BG"/>
              </w:rPr>
              <w:t>/мм/</w:t>
            </w:r>
            <w:proofErr w:type="spellStart"/>
            <w:r w:rsidRPr="00C6383A">
              <w:rPr>
                <w:rFonts w:ascii="Times New Roman" w:eastAsia="Times New Roman" w:hAnsi="Times New Roman" w:cs="Times New Roman"/>
                <w:i/>
                <w:iCs/>
                <w:sz w:val="24"/>
                <w:szCs w:val="24"/>
                <w:lang w:eastAsia="bg-BG"/>
              </w:rPr>
              <w:t>гггг</w:t>
            </w:r>
            <w:proofErr w:type="spellEnd"/>
            <w:r w:rsidRPr="00C6383A">
              <w:rPr>
                <w:rFonts w:ascii="Times New Roman" w:eastAsia="Times New Roman" w:hAnsi="Times New Roman" w:cs="Times New Roman"/>
                <w:i/>
                <w:iCs/>
                <w:sz w:val="24"/>
                <w:szCs w:val="24"/>
                <w:lang w:eastAsia="bg-BG"/>
              </w:rPr>
              <w:t>)</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Съгласен съм с </w:t>
            </w:r>
            <w:hyperlink r:id="rId4" w:tgtFrame="_blank" w:history="1">
              <w:r w:rsidRPr="00C6383A">
                <w:rPr>
                  <w:rFonts w:ascii="Times New Roman" w:eastAsia="Times New Roman" w:hAnsi="Times New Roman" w:cs="Times New Roman"/>
                  <w:color w:val="0000FF"/>
                  <w:sz w:val="24"/>
                  <w:szCs w:val="24"/>
                  <w:u w:val="single"/>
                  <w:lang w:eastAsia="bg-BG"/>
                </w:rPr>
                <w:t>Общите условия</w:t>
              </w:r>
            </w:hyperlink>
            <w:r w:rsidRPr="00C6383A">
              <w:rPr>
                <w:rFonts w:ascii="Times New Roman" w:eastAsia="Times New Roman" w:hAnsi="Times New Roman" w:cs="Times New Roman"/>
                <w:sz w:val="24"/>
                <w:szCs w:val="24"/>
                <w:lang w:eastAsia="bg-BG"/>
              </w:rPr>
              <w:t> на АОП за използване на услугата Електронен подател:</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Дата на изпращане на обявлението до ОВ на ЕС:</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Заведено в преписка: </w:t>
            </w:r>
            <w:r w:rsidRPr="00C6383A">
              <w:rPr>
                <w:rFonts w:ascii="Courier New" w:eastAsia="Times New Roman" w:hAnsi="Courier New" w:cs="Courier New"/>
                <w:b/>
                <w:bCs/>
                <w:sz w:val="20"/>
                <w:lang w:eastAsia="bg-BG"/>
              </w:rPr>
              <w:t>00638-2018-0009</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nnnnn-yyyy-xxxx</w:t>
            </w:r>
            <w:proofErr w:type="spellEnd"/>
            <w:r w:rsidRPr="00C6383A">
              <w:rPr>
                <w:rFonts w:ascii="Times New Roman" w:eastAsia="Times New Roman" w:hAnsi="Times New Roman" w:cs="Times New Roman"/>
                <w:i/>
                <w:iCs/>
                <w:sz w:val="24"/>
                <w:szCs w:val="24"/>
                <w:lang w:eastAsia="bg-BG"/>
              </w:rPr>
              <w:t>)</w:t>
            </w:r>
          </w:p>
        </w:tc>
      </w:tr>
    </w:tbl>
    <w:p w:rsidR="00C6383A" w:rsidRPr="00C6383A" w:rsidRDefault="00C6383A" w:rsidP="00C6383A">
      <w:pPr>
        <w:shd w:val="clear" w:color="auto" w:fill="F0F0F0"/>
        <w:spacing w:after="0"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665"/>
        <w:gridCol w:w="6331"/>
      </w:tblGrid>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90600" cy="685800"/>
                  <wp:effectExtent l="19050" t="0" r="0" b="0"/>
                  <wp:docPr id="2" name="Картина 2"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srcRect/>
                          <a:stretch>
                            <a:fillRect/>
                          </a:stretch>
                        </pic:blipFill>
                        <pic:spPr bwMode="auto">
                          <a:xfrm>
                            <a:off x="0" y="0"/>
                            <a:ext cx="990600" cy="685800"/>
                          </a:xfrm>
                          <a:prstGeom prst="rect">
                            <a:avLst/>
                          </a:prstGeom>
                          <a:noFill/>
                          <a:ln w="9525">
                            <a:noFill/>
                            <a:miter lim="800000"/>
                            <a:headEnd/>
                            <a:tailEnd/>
                          </a:ln>
                        </pic:spPr>
                      </pic:pic>
                    </a:graphicData>
                  </a:graphic>
                </wp:inline>
              </w:drawing>
            </w:r>
          </w:p>
        </w:tc>
        <w:tc>
          <w:tcPr>
            <w:tcW w:w="0" w:type="auto"/>
            <w:hideMark/>
          </w:tcPr>
          <w:p w:rsidR="00C6383A" w:rsidRPr="00C6383A" w:rsidRDefault="00C6383A" w:rsidP="00C6383A">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C6383A">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Информация и онлайн формуляри: </w:t>
            </w:r>
            <w:hyperlink r:id="rId6" w:tgtFrame="_blank" w:history="1">
              <w:r w:rsidRPr="00C6383A">
                <w:rPr>
                  <w:rFonts w:ascii="Times New Roman" w:eastAsia="Times New Roman" w:hAnsi="Times New Roman" w:cs="Times New Roman"/>
                  <w:color w:val="0000FF"/>
                  <w:sz w:val="24"/>
                  <w:szCs w:val="24"/>
                  <w:u w:val="single"/>
                  <w:lang w:eastAsia="bg-BG"/>
                </w:rPr>
                <w:t>http://simap.ted.europa.eu</w:t>
              </w:r>
            </w:hyperlink>
          </w:p>
        </w:tc>
      </w:tr>
    </w:tbl>
    <w:p w:rsidR="00C6383A" w:rsidRPr="00C6383A" w:rsidRDefault="00C6383A" w:rsidP="00C6383A">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C6383A">
        <w:rPr>
          <w:rFonts w:ascii="Trebuchet MS" w:eastAsia="Times New Roman" w:hAnsi="Trebuchet MS" w:cs="Times New Roman"/>
          <w:b/>
          <w:bCs/>
          <w:color w:val="000000"/>
          <w:kern w:val="36"/>
          <w:sz w:val="28"/>
          <w:szCs w:val="28"/>
          <w:lang w:eastAsia="bg-BG"/>
        </w:rPr>
        <w:t>Обявление за поръчка</w:t>
      </w:r>
    </w:p>
    <w:p w:rsidR="00C6383A" w:rsidRPr="00C6383A" w:rsidRDefault="00C6383A" w:rsidP="00C6383A">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color w:val="000000"/>
          <w:sz w:val="16"/>
          <w:szCs w:val="16"/>
          <w:lang w:eastAsia="bg-BG"/>
        </w:rPr>
        <w:t>Директива 2014/24/ЕС/ЗОП</w:t>
      </w:r>
    </w:p>
    <w:p w:rsidR="00C6383A" w:rsidRPr="00C6383A" w:rsidRDefault="00C6383A" w:rsidP="00C6383A">
      <w:pPr>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t> Раздел I: Възлагащ орган</w:t>
      </w: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I.1) Наименование и адреси</w:t>
      </w:r>
      <w:r w:rsidRPr="00C6383A">
        <w:rPr>
          <w:rFonts w:ascii="Trebuchet MS" w:eastAsia="Times New Roman" w:hAnsi="Trebuchet MS" w:cs="Times New Roman"/>
          <w:color w:val="000000"/>
          <w:sz w:val="16"/>
          <w:szCs w:val="16"/>
          <w:lang w:eastAsia="bg-BG"/>
        </w:rPr>
        <w:t> </w:t>
      </w:r>
      <w:r w:rsidRPr="00C6383A">
        <w:rPr>
          <w:rFonts w:ascii="Trebuchet MS" w:eastAsia="Times New Roman" w:hAnsi="Trebuchet MS" w:cs="Times New Roman"/>
          <w:color w:val="000000"/>
          <w:sz w:val="16"/>
          <w:szCs w:val="16"/>
          <w:vertAlign w:val="superscript"/>
          <w:lang w:eastAsia="bg-BG"/>
        </w:rPr>
        <w:t>1</w:t>
      </w:r>
      <w:r w:rsidRPr="00C6383A">
        <w:rPr>
          <w:rFonts w:ascii="Trebuchet MS" w:eastAsia="Times New Roman" w:hAnsi="Trebuchet MS" w:cs="Times New Roman"/>
          <w:color w:val="000000"/>
          <w:sz w:val="16"/>
          <w:szCs w:val="16"/>
          <w:lang w:eastAsia="bg-BG"/>
        </w:rPr>
        <w:t> </w:t>
      </w:r>
      <w:r w:rsidRPr="00C6383A">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tblPr>
      <w:tblGrid>
        <w:gridCol w:w="4902"/>
        <w:gridCol w:w="3511"/>
        <w:gridCol w:w="4091"/>
        <w:gridCol w:w="9096"/>
      </w:tblGrid>
      <w:tr w:rsidR="00C6383A" w:rsidRPr="00C6383A" w:rsidT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Официално наименование: </w:t>
            </w:r>
            <w:r w:rsidRPr="00C6383A">
              <w:rPr>
                <w:rFonts w:ascii="Courier New" w:eastAsia="Times New Roman" w:hAnsi="Courier New" w:cs="Courier New"/>
                <w:sz w:val="20"/>
                <w:lang w:eastAsia="bg-BG"/>
              </w:rPr>
              <w:t>Община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Национален регистрационен номер: </w:t>
            </w:r>
            <w:r w:rsidRPr="00C6383A">
              <w:rPr>
                <w:rFonts w:ascii="Courier New" w:eastAsia="Times New Roman" w:hAnsi="Courier New" w:cs="Courier New"/>
                <w:sz w:val="20"/>
                <w:lang w:eastAsia="bg-BG"/>
              </w:rPr>
              <w:t>000903729</w:t>
            </w:r>
          </w:p>
        </w:tc>
      </w:tr>
      <w:tr w:rsidR="00C6383A" w:rsidRPr="00C6383A" w:rsidTr="00C6383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адрес: </w:t>
            </w:r>
            <w:r w:rsidRPr="00C6383A">
              <w:rPr>
                <w:rFonts w:ascii="Courier New" w:eastAsia="Times New Roman" w:hAnsi="Courier New" w:cs="Courier New"/>
                <w:sz w:val="20"/>
                <w:lang w:eastAsia="bg-BG"/>
              </w:rPr>
              <w:t>пл. „Шейновски“ № 3</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Град: </w:t>
            </w:r>
            <w:r w:rsidRPr="00C6383A">
              <w:rPr>
                <w:rFonts w:ascii="Courier New" w:eastAsia="Times New Roman" w:hAnsi="Courier New" w:cs="Courier New"/>
                <w:sz w:val="20"/>
                <w:lang w:eastAsia="bg-BG"/>
              </w:rPr>
              <w:t>гр.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код NUTS: </w:t>
            </w:r>
            <w:r w:rsidRPr="00C6383A">
              <w:rPr>
                <w:rFonts w:ascii="Courier New" w:eastAsia="Times New Roman" w:hAnsi="Courier New" w:cs="Courier New"/>
                <w:sz w:val="20"/>
                <w:lang w:eastAsia="bg-BG"/>
              </w:rPr>
              <w:t>BG422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код: </w:t>
            </w:r>
            <w:r w:rsidRPr="00C6383A">
              <w:rPr>
                <w:rFonts w:ascii="Courier New" w:eastAsia="Times New Roman" w:hAnsi="Courier New" w:cs="Courier New"/>
                <w:sz w:val="20"/>
                <w:lang w:eastAsia="bg-BG"/>
              </w:rPr>
              <w:t>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Държава: </w:t>
            </w:r>
            <w:r w:rsidRPr="00C6383A">
              <w:rPr>
                <w:rFonts w:ascii="Courier New" w:eastAsia="Times New Roman" w:hAnsi="Courier New" w:cs="Courier New"/>
                <w:sz w:val="20"/>
                <w:lang w:eastAsia="bg-BG"/>
              </w:rPr>
              <w:t>България</w:t>
            </w:r>
          </w:p>
        </w:tc>
      </w:tr>
      <w:tr w:rsidR="00C6383A" w:rsidRPr="00C6383A" w:rsidT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Лице за контакт: </w:t>
            </w:r>
            <w:r w:rsidRPr="00C6383A">
              <w:rPr>
                <w:rFonts w:ascii="Courier New" w:eastAsia="Times New Roman" w:hAnsi="Courier New" w:cs="Courier New"/>
                <w:sz w:val="20"/>
                <w:lang w:eastAsia="bg-BG"/>
              </w:rPr>
              <w:t>Мими Дачева,Гергана Димова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Телефон: </w:t>
            </w:r>
            <w:r w:rsidRPr="00C6383A">
              <w:rPr>
                <w:rFonts w:ascii="Courier New" w:eastAsia="Times New Roman" w:hAnsi="Courier New" w:cs="Courier New"/>
                <w:sz w:val="20"/>
                <w:lang w:eastAsia="bg-BG"/>
              </w:rPr>
              <w:t>+359 3781-2341</w:t>
            </w:r>
          </w:p>
        </w:tc>
      </w:tr>
      <w:tr w:rsidR="00C6383A" w:rsidRPr="00C6383A" w:rsidT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Електронна поща: </w:t>
            </w:r>
            <w:r w:rsidRPr="00C6383A">
              <w:rPr>
                <w:rFonts w:ascii="Courier New" w:eastAsia="Times New Roman" w:hAnsi="Courier New" w:cs="Courier New"/>
                <w:sz w:val="20"/>
                <w:lang w:eastAsia="bg-BG"/>
              </w:rPr>
              <w:t>obshtina_simgrad@abv.bg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Факс: </w:t>
            </w:r>
            <w:r w:rsidRPr="00C6383A">
              <w:rPr>
                <w:rFonts w:ascii="Courier New" w:eastAsia="Times New Roman" w:hAnsi="Courier New" w:cs="Courier New"/>
                <w:sz w:val="20"/>
                <w:lang w:eastAsia="bg-BG"/>
              </w:rPr>
              <w:t>+359 3781-2006</w:t>
            </w:r>
          </w:p>
        </w:tc>
      </w:tr>
      <w:tr w:rsidR="00C6383A" w:rsidRPr="00C6383A" w:rsidTr="00C6383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Интернет адрес/и</w:t>
            </w:r>
          </w:p>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Основен адрес: </w:t>
            </w:r>
            <w:r w:rsidRPr="00C6383A">
              <w:rPr>
                <w:rFonts w:ascii="Times New Roman" w:eastAsia="Times New Roman" w:hAnsi="Times New Roman" w:cs="Times New Roman"/>
                <w:i/>
                <w:iCs/>
                <w:sz w:val="24"/>
                <w:szCs w:val="24"/>
                <w:lang w:eastAsia="bg-BG"/>
              </w:rPr>
              <w:t>(URL)</w:t>
            </w:r>
            <w:r w:rsidRPr="00C6383A">
              <w:rPr>
                <w:rFonts w:ascii="Times New Roman" w:eastAsia="Times New Roman" w:hAnsi="Times New Roman" w:cs="Times New Roman"/>
                <w:sz w:val="24"/>
                <w:szCs w:val="24"/>
                <w:lang w:eastAsia="bg-BG"/>
              </w:rPr>
              <w:t> </w:t>
            </w:r>
            <w:hyperlink r:id="rId7" w:tgtFrame="_blank" w:history="1">
              <w:r w:rsidRPr="00C6383A">
                <w:rPr>
                  <w:rFonts w:ascii="Courier New" w:eastAsia="Times New Roman" w:hAnsi="Courier New" w:cs="Courier New"/>
                  <w:color w:val="0000FF"/>
                  <w:sz w:val="20"/>
                  <w:u w:val="single"/>
                  <w:lang w:eastAsia="bg-BG"/>
                </w:rPr>
                <w:t>http://www.simeonovgrad.bg</w:t>
              </w:r>
            </w:hyperlink>
          </w:p>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Адрес на профила на купувача: </w:t>
            </w:r>
            <w:r w:rsidRPr="00C6383A">
              <w:rPr>
                <w:rFonts w:ascii="Times New Roman" w:eastAsia="Times New Roman" w:hAnsi="Times New Roman" w:cs="Times New Roman"/>
                <w:i/>
                <w:iCs/>
                <w:sz w:val="24"/>
                <w:szCs w:val="24"/>
                <w:lang w:eastAsia="bg-BG"/>
              </w:rPr>
              <w:t>(URL)</w:t>
            </w:r>
            <w:r w:rsidRPr="00C6383A">
              <w:rPr>
                <w:rFonts w:ascii="Times New Roman" w:eastAsia="Times New Roman" w:hAnsi="Times New Roman" w:cs="Times New Roman"/>
                <w:sz w:val="24"/>
                <w:szCs w:val="24"/>
                <w:lang w:eastAsia="bg-BG"/>
              </w:rPr>
              <w:t> </w:t>
            </w:r>
            <w:hyperlink r:id="rId8" w:tgtFrame="_blank" w:history="1">
              <w:r w:rsidRPr="00C6383A">
                <w:rPr>
                  <w:rFonts w:ascii="Courier New" w:eastAsia="Times New Roman" w:hAnsi="Courier New" w:cs="Courier New"/>
                  <w:color w:val="0000FF"/>
                  <w:sz w:val="20"/>
                  <w:u w:val="single"/>
                  <w:lang w:eastAsia="bg-BG"/>
                </w:rPr>
                <w:t>http://www.simeonovgrad.bg/profilebuyer</w:t>
              </w:r>
            </w:hyperlink>
          </w:p>
        </w:tc>
      </w:tr>
    </w:tbl>
    <w:p w:rsidR="00C6383A" w:rsidRPr="00C6383A" w:rsidRDefault="00C6383A" w:rsidP="00C6383A">
      <w:pPr>
        <w:spacing w:after="0" w:line="240" w:lineRule="auto"/>
        <w:rPr>
          <w:rFonts w:ascii="Trebuchet MS" w:eastAsia="Times New Roman" w:hAnsi="Trebuchet MS" w:cs="Times New Roman"/>
          <w:color w:val="000000"/>
          <w:sz w:val="16"/>
          <w:szCs w:val="16"/>
          <w:lang w:eastAsia="bg-BG"/>
        </w:rPr>
      </w:pP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I.2) Съвместно възлагане</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5"/>
              <w:gridCol w:w="15375"/>
            </w:tblGrid>
            <w:tr w:rsidR="00C6383A" w:rsidRPr="00C6383A">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Поръчката обхваща съвместно възлагане: </w:t>
                  </w:r>
                  <w:r w:rsidRPr="00C6383A">
                    <w:rPr>
                      <w:rFonts w:ascii="Courier New" w:eastAsia="Times New Roman" w:hAnsi="Courier New" w:cs="Courier New"/>
                      <w:sz w:val="20"/>
                      <w:lang w:eastAsia="bg-BG"/>
                    </w:rPr>
                    <w:t>НЕ</w:t>
                  </w: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C6383A" w:rsidRPr="00C6383A">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Поръчката се възлага от централен орган за покупки: </w:t>
                  </w:r>
                  <w:r w:rsidRPr="00C6383A">
                    <w:rPr>
                      <w:rFonts w:ascii="Courier New" w:eastAsia="Times New Roman" w:hAnsi="Courier New" w:cs="Courier New"/>
                      <w:sz w:val="20"/>
                      <w:lang w:eastAsia="bg-BG"/>
                    </w:rPr>
                    <w:t>НЕ</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rebuchet MS" w:eastAsia="Times New Roman" w:hAnsi="Trebuchet MS" w:cs="Times New Roman"/>
          <w:color w:val="000000"/>
          <w:sz w:val="16"/>
          <w:szCs w:val="16"/>
          <w:lang w:eastAsia="bg-BG"/>
        </w:rPr>
      </w:pP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I.3) Комуникация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734"/>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494"/>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(URL): </w:t>
                  </w:r>
                  <w:hyperlink r:id="rId9" w:tgtFrame="_blank" w:history="1">
                    <w:r w:rsidRPr="00C6383A">
                      <w:rPr>
                        <w:rFonts w:ascii="Courier New" w:eastAsia="Times New Roman" w:hAnsi="Courier New" w:cs="Courier New"/>
                        <w:color w:val="0000FF"/>
                        <w:sz w:val="20"/>
                        <w:u w:val="single"/>
                        <w:lang w:eastAsia="bg-BG"/>
                      </w:rPr>
                      <w:t>http://www.simeonovgrad.bg</w:t>
                    </w:r>
                  </w:hyperlink>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47"/>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tblPr>
                  <w:tblGrid>
                    <w:gridCol w:w="4574"/>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Горепосоченото/</w:t>
                        </w:r>
                        <w:proofErr w:type="spellStart"/>
                        <w:r w:rsidRPr="00C6383A">
                          <w:rPr>
                            <w:rFonts w:ascii="Times New Roman" w:eastAsia="Times New Roman" w:hAnsi="Times New Roman" w:cs="Times New Roman"/>
                            <w:sz w:val="24"/>
                            <w:szCs w:val="24"/>
                            <w:lang w:eastAsia="bg-BG"/>
                          </w:rPr>
                          <w:t>ите</w:t>
                        </w:r>
                        <w:proofErr w:type="spellEnd"/>
                        <w:r w:rsidRPr="00C6383A">
                          <w:rPr>
                            <w:rFonts w:ascii="Times New Roman" w:eastAsia="Times New Roman" w:hAnsi="Times New Roman" w:cs="Times New Roman"/>
                            <w:sz w:val="24"/>
                            <w:szCs w:val="24"/>
                            <w:lang w:eastAsia="bg-BG"/>
                          </w:rPr>
                          <w:t xml:space="preserve"> място/места за контакт</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6921"/>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tblPr>
                  <w:tblGrid>
                    <w:gridCol w:w="4574"/>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Горепосоченото/</w:t>
                        </w:r>
                        <w:proofErr w:type="spellStart"/>
                        <w:r w:rsidRPr="00C6383A">
                          <w:rPr>
                            <w:rFonts w:ascii="Times New Roman" w:eastAsia="Times New Roman" w:hAnsi="Times New Roman" w:cs="Times New Roman"/>
                            <w:sz w:val="24"/>
                            <w:szCs w:val="24"/>
                            <w:lang w:eastAsia="bg-BG"/>
                          </w:rPr>
                          <w:t>ите</w:t>
                        </w:r>
                        <w:proofErr w:type="spellEnd"/>
                        <w:r w:rsidRPr="00C6383A">
                          <w:rPr>
                            <w:rFonts w:ascii="Times New Roman" w:eastAsia="Times New Roman" w:hAnsi="Times New Roman" w:cs="Times New Roman"/>
                            <w:sz w:val="24"/>
                            <w:szCs w:val="24"/>
                            <w:lang w:eastAsia="bg-BG"/>
                          </w:rPr>
                          <w:t xml:space="preserve"> място/места за контакт</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електронно посредством: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t>  </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8881"/>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t> (URL):</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rebuchet MS" w:eastAsia="Times New Roman" w:hAnsi="Trebuchet MS" w:cs="Times New Roman"/>
          <w:color w:val="000000"/>
          <w:sz w:val="16"/>
          <w:szCs w:val="16"/>
          <w:lang w:eastAsia="bg-BG"/>
        </w:rPr>
      </w:pP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I.4) Вид на възлагащия орган</w:t>
      </w:r>
      <w:r w:rsidRPr="00C6383A">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342"/>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102"/>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Регионален или местен орган</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rebuchet MS" w:eastAsia="Times New Roman" w:hAnsi="Trebuchet MS" w:cs="Times New Roman"/>
          <w:color w:val="000000"/>
          <w:sz w:val="16"/>
          <w:szCs w:val="16"/>
          <w:lang w:eastAsia="bg-BG"/>
        </w:rPr>
      </w:pP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I.5) Основна дейност</w:t>
      </w:r>
      <w:r w:rsidRPr="00C6383A">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974"/>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34"/>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Общи обществени услуги</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t>Раздел II: Предмет</w:t>
      </w: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II.1) Обхват на обществената поръчка</w:t>
      </w:r>
    </w:p>
    <w:tbl>
      <w:tblPr>
        <w:tblW w:w="21600" w:type="dxa"/>
        <w:tblCellMar>
          <w:top w:w="15" w:type="dxa"/>
          <w:left w:w="15" w:type="dxa"/>
          <w:bottom w:w="15" w:type="dxa"/>
          <w:right w:w="15" w:type="dxa"/>
        </w:tblCellMar>
        <w:tblLook w:val="04A0"/>
      </w:tblPr>
      <w:tblGrid>
        <w:gridCol w:w="18437"/>
        <w:gridCol w:w="3329"/>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II.1.1) Наименование</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ИЗПЪЛНЕНИЕ НА СТРОИТЕЛНО-МОНТАЖНИ РАБОТИ НА ОБЕКТ: “РЕКОНСТРУКЦИЯ И ВЪЗСТАНОВЯВАНЕ НА ВИК МРЕЖИ “ ГР.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Референтен номер: </w:t>
            </w:r>
            <w:r w:rsidRPr="00C6383A">
              <w:rPr>
                <w:rFonts w:ascii="Times New Roman" w:eastAsia="Times New Roman" w:hAnsi="Times New Roman" w:cs="Times New Roman"/>
                <w:sz w:val="24"/>
                <w:szCs w:val="24"/>
                <w:vertAlign w:val="superscript"/>
                <w:lang w:eastAsia="bg-BG"/>
              </w:rPr>
              <w:t>2</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II.1.2) Основен CPV код</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45332000</w:t>
            </w:r>
            <w:r w:rsidRPr="00C6383A">
              <w:rPr>
                <w:rFonts w:ascii="Times New Roman" w:eastAsia="Times New Roman" w:hAnsi="Times New Roman" w:cs="Times New Roman"/>
                <w:sz w:val="24"/>
                <w:szCs w:val="24"/>
                <w:lang w:eastAsia="bg-BG"/>
              </w:rPr>
              <w:t>      Допълнителен CPV код: </w:t>
            </w:r>
            <w:r w:rsidRPr="00C6383A">
              <w:rPr>
                <w:rFonts w:ascii="Times New Roman" w:eastAsia="Times New Roman" w:hAnsi="Times New Roman" w:cs="Times New Roman"/>
                <w:sz w:val="24"/>
                <w:szCs w:val="24"/>
                <w:vertAlign w:val="superscript"/>
                <w:lang w:eastAsia="bg-BG"/>
              </w:rPr>
              <w:t>1</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17"/>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II.1.3) Вид на поръчка</w:t>
                  </w:r>
                  <w:r w:rsidRPr="00C6383A">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1500"/>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Строителство</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II.1.4) Кратко описание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Настоящата обществена поръчка има за цел да се избере изпълнител, който да изпълни предвидените в инвестиционните проекти, строително-монтажни работи (СМР).</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II.1.5) Прогнозна обща стойност</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br/>
              <w:t>Стойност, без да се включва ДДС: </w:t>
            </w:r>
            <w:r w:rsidRPr="00C6383A">
              <w:rPr>
                <w:rFonts w:ascii="Courier New" w:eastAsia="Times New Roman" w:hAnsi="Courier New" w:cs="Courier New"/>
                <w:sz w:val="20"/>
                <w:lang w:eastAsia="bg-BG"/>
              </w:rPr>
              <w:t>500000</w:t>
            </w:r>
            <w:r w:rsidRPr="00C6383A">
              <w:rPr>
                <w:rFonts w:ascii="Times New Roman" w:eastAsia="Times New Roman" w:hAnsi="Times New Roman" w:cs="Times New Roman"/>
                <w:sz w:val="24"/>
                <w:szCs w:val="24"/>
                <w:lang w:eastAsia="bg-BG"/>
              </w:rPr>
              <w:t>      Валута: </w:t>
            </w:r>
            <w:r w:rsidRPr="00C6383A">
              <w:rPr>
                <w:rFonts w:ascii="Courier New" w:eastAsia="Times New Roman" w:hAnsi="Courier New" w:cs="Courier New"/>
                <w:sz w:val="20"/>
                <w:lang w:eastAsia="bg-BG"/>
              </w:rPr>
              <w:t>BGN</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tblPr>
            <w:tblGrid>
              <w:gridCol w:w="6012"/>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lastRenderedPageBreak/>
                          <w:t>не</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tblPr>
            <w:tblGrid>
              <w:gridCol w:w="4413"/>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926"/>
                    <w:gridCol w:w="231"/>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18"/>
                <w:lang w:eastAsia="bg-BG"/>
              </w:rPr>
              <w:lastRenderedPageBreak/>
              <w:t>II.2) Описание </w:t>
            </w:r>
            <w:r w:rsidRPr="00C6383A">
              <w:rPr>
                <w:rFonts w:ascii="Times New Roman" w:eastAsia="Times New Roman" w:hAnsi="Times New Roman" w:cs="Times New Roman"/>
                <w:b/>
                <w:bCs/>
                <w:sz w:val="18"/>
                <w:vertAlign w:val="superscript"/>
                <w:lang w:eastAsia="bg-BG"/>
              </w:rPr>
              <w:t>1</w:t>
            </w:r>
          </w:p>
          <w:tbl>
            <w:tblPr>
              <w:tblW w:w="21600" w:type="dxa"/>
              <w:tblCellMar>
                <w:top w:w="15" w:type="dxa"/>
                <w:left w:w="15" w:type="dxa"/>
                <w:bottom w:w="15" w:type="dxa"/>
                <w:right w:w="15" w:type="dxa"/>
              </w:tblCellMar>
              <w:tblLook w:val="04A0"/>
            </w:tblPr>
            <w:tblGrid>
              <w:gridCol w:w="10359"/>
              <w:gridCol w:w="11241"/>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II.2.1) Наименование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Обособена позиция номер: </w:t>
                  </w:r>
                  <w:r w:rsidRPr="00C6383A">
                    <w:rPr>
                      <w:rFonts w:ascii="Times New Roman" w:eastAsia="Times New Roman" w:hAnsi="Times New Roman" w:cs="Times New Roman"/>
                      <w:sz w:val="24"/>
                      <w:szCs w:val="24"/>
                      <w:vertAlign w:val="superscript"/>
                      <w:lang w:eastAsia="bg-BG"/>
                    </w:rPr>
                    <w:t>2</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II.2.2) Допълнителни CPV кодове </w:t>
                  </w:r>
                  <w:r w:rsidRPr="00C6383A">
                    <w:rPr>
                      <w:rFonts w:ascii="Times New Roman" w:eastAsia="Times New Roman" w:hAnsi="Times New Roman" w:cs="Times New Roman"/>
                      <w:b/>
                      <w:bCs/>
                      <w:sz w:val="24"/>
                      <w:szCs w:val="24"/>
                      <w:vertAlign w:val="superscript"/>
                      <w:lang w:eastAsia="bg-BG"/>
                    </w:rPr>
                    <w:t>2</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II.2.3) Място на изпълнение</w:t>
                  </w:r>
                  <w:r w:rsidRPr="00C6383A">
                    <w:rPr>
                      <w:rFonts w:ascii="Times New Roman" w:eastAsia="Times New Roman" w:hAnsi="Times New Roman" w:cs="Times New Roman"/>
                      <w:sz w:val="24"/>
                      <w:szCs w:val="24"/>
                      <w:lang w:eastAsia="bg-BG"/>
                    </w:rPr>
                    <w:br/>
                    <w:t>код NUTS: </w:t>
                  </w:r>
                  <w:r w:rsidRPr="00C6383A">
                    <w:rPr>
                      <w:rFonts w:ascii="Times New Roman" w:eastAsia="Times New Roman" w:hAnsi="Times New Roman" w:cs="Times New Roman"/>
                      <w:sz w:val="24"/>
                      <w:szCs w:val="24"/>
                      <w:vertAlign w:val="superscript"/>
                      <w:lang w:eastAsia="bg-BG"/>
                    </w:rPr>
                    <w:t>1</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BG422</w:t>
                  </w:r>
                  <w:r w:rsidRPr="00C6383A">
                    <w:rPr>
                      <w:rFonts w:ascii="Times New Roman" w:eastAsia="Times New Roman" w:hAnsi="Times New Roman" w:cs="Times New Roman"/>
                      <w:sz w:val="24"/>
                      <w:szCs w:val="24"/>
                      <w:lang w:eastAsia="bg-BG"/>
                    </w:rPr>
                    <w:br/>
                    <w:t>Основно място на изпълнение: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гр. Симеоновград</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II.2.4) Описание на обществената поръчка</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 xml:space="preserve">Настоящата обществена поръчка има за цел да даде решение за реконструкция на вътрешната улична водопроводна мрежа и </w:t>
                  </w:r>
                  <w:proofErr w:type="spellStart"/>
                  <w:r w:rsidRPr="00C6383A">
                    <w:rPr>
                      <w:rFonts w:ascii="Courier New" w:eastAsia="Times New Roman" w:hAnsi="Courier New" w:cs="Courier New"/>
                      <w:sz w:val="20"/>
                      <w:lang w:eastAsia="bg-BG"/>
                    </w:rPr>
                    <w:t>сградните</w:t>
                  </w:r>
                  <w:proofErr w:type="spellEnd"/>
                  <w:r w:rsidRPr="00C6383A">
                    <w:rPr>
                      <w:rFonts w:ascii="Courier New" w:eastAsia="Times New Roman" w:hAnsi="Courier New" w:cs="Courier New"/>
                      <w:sz w:val="20"/>
                      <w:lang w:eastAsia="bg-BG"/>
                    </w:rPr>
                    <w:t xml:space="preserve"> водопроводни отклонения, като подмяна на съществуващият етернитов водопровод с пластмасов. Община Симеоновград е изготвила проекти за подмяна на съществуваща водопроводна инсталация по части от улиците на града, като се е водила на принципа на участъците с най-много аварии по водопроводната инсталация. Проекта е изготвен на 4 подобекта, както следва:</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Подмяна водопровод на ул.”Родопи”</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Подмяна водопровод на ул.”Иван Арнаудов”</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xml:space="preserve">- Подмяна водопровод на ул.”Барон </w:t>
                  </w:r>
                  <w:proofErr w:type="spellStart"/>
                  <w:r w:rsidRPr="00C6383A">
                    <w:rPr>
                      <w:rFonts w:ascii="Courier New" w:eastAsia="Times New Roman" w:hAnsi="Courier New" w:cs="Courier New"/>
                      <w:sz w:val="20"/>
                      <w:lang w:eastAsia="bg-BG"/>
                    </w:rPr>
                    <w:t>Хирш</w:t>
                  </w:r>
                  <w:proofErr w:type="spellEnd"/>
                  <w:r w:rsidRPr="00C6383A">
                    <w:rPr>
                      <w:rFonts w:ascii="Courier New" w:eastAsia="Times New Roman" w:hAnsi="Courier New" w:cs="Courier New"/>
                      <w:sz w:val="20"/>
                      <w:lang w:eastAsia="bg-BG"/>
                    </w:rPr>
                    <w:t>”</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Подмяна водопровод на ул.”Васил Левски”</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Общата дължина на уличния водопровод е 2260м., от които-1281м. с диаметър Ф80, -88м.с диаметър Ф150 и 891 м с диаметър Ф250 .Съществуващият водопровод е амортизиран и се налага често отстраняване на аварии.</w:t>
                  </w:r>
                  <w:r w:rsidRPr="00C6383A">
                    <w:rPr>
                      <w:rFonts w:ascii="Courier New" w:eastAsia="Times New Roman" w:hAnsi="Courier New" w:cs="Courier New"/>
                      <w:sz w:val="20"/>
                      <w:szCs w:val="20"/>
                      <w:lang w:eastAsia="bg-BG"/>
                    </w:rPr>
                    <w:br/>
                  </w:r>
                  <w:proofErr w:type="spellStart"/>
                  <w:r w:rsidRPr="00C6383A">
                    <w:rPr>
                      <w:rFonts w:ascii="Courier New" w:eastAsia="Times New Roman" w:hAnsi="Courier New" w:cs="Courier New"/>
                      <w:sz w:val="20"/>
                      <w:lang w:eastAsia="bg-BG"/>
                    </w:rPr>
                    <w:t>Сградните</w:t>
                  </w:r>
                  <w:proofErr w:type="spellEnd"/>
                  <w:r w:rsidRPr="00C6383A">
                    <w:rPr>
                      <w:rFonts w:ascii="Courier New" w:eastAsia="Times New Roman" w:hAnsi="Courier New" w:cs="Courier New"/>
                      <w:sz w:val="20"/>
                      <w:lang w:eastAsia="bg-BG"/>
                    </w:rPr>
                    <w:t xml:space="preserve"> водопроводни отклонения на брой 157 бр. също са амортизирани .Зачестилите аварии по уличната мрежа и отчитайки, че основно е изградена с </w:t>
                  </w:r>
                  <w:proofErr w:type="spellStart"/>
                  <w:r w:rsidRPr="00C6383A">
                    <w:rPr>
                      <w:rFonts w:ascii="Courier New" w:eastAsia="Times New Roman" w:hAnsi="Courier New" w:cs="Courier New"/>
                      <w:sz w:val="20"/>
                      <w:lang w:eastAsia="bg-BG"/>
                    </w:rPr>
                    <w:t>азбестоциментови</w:t>
                  </w:r>
                  <w:proofErr w:type="spellEnd"/>
                  <w:r w:rsidRPr="00C6383A">
                    <w:rPr>
                      <w:rFonts w:ascii="Courier New" w:eastAsia="Times New Roman" w:hAnsi="Courier New" w:cs="Courier New"/>
                      <w:sz w:val="20"/>
                      <w:lang w:eastAsia="bg-BG"/>
                    </w:rPr>
                    <w:t xml:space="preserve"> тръби, трудни за експлоатация и застрашаващи човешкото здраве се налага търсенето на решение за реконструкция и модернизация.</w:t>
                  </w:r>
                  <w:proofErr w:type="spellStart"/>
                  <w:r w:rsidRPr="00C6383A">
                    <w:rPr>
                      <w:rFonts w:ascii="Courier New" w:eastAsia="Times New Roman" w:hAnsi="Courier New" w:cs="Courier New"/>
                      <w:sz w:val="20"/>
                      <w:lang w:eastAsia="bg-BG"/>
                    </w:rPr>
                    <w:t>Азбестоциментовите</w:t>
                  </w:r>
                  <w:proofErr w:type="spellEnd"/>
                  <w:r w:rsidRPr="00C6383A">
                    <w:rPr>
                      <w:rFonts w:ascii="Courier New" w:eastAsia="Times New Roman" w:hAnsi="Courier New" w:cs="Courier New"/>
                      <w:sz w:val="20"/>
                      <w:lang w:eastAsia="bg-BG"/>
                    </w:rPr>
                    <w:t xml:space="preserve"> тръби Еф80мм ще се подменят с тръби ПЕВП ф90 за налягане 1.2МРа , Ет.Ф150 с ПЕВП-Ф160 за 1,2МРа и Ет.Ф250 с ПЕВП-Ф250 за 1,2МРа.Реконструкцията ще се изпълнява по улицата, като новия водопровод ще се изпълняват на 1.5м. от бордюра на улицата. Това ще даде възможност да се изграждат новите водопроводи без да се прекъсва </w:t>
                  </w:r>
                  <w:proofErr w:type="spellStart"/>
                  <w:r w:rsidRPr="00C6383A">
                    <w:rPr>
                      <w:rFonts w:ascii="Courier New" w:eastAsia="Times New Roman" w:hAnsi="Courier New" w:cs="Courier New"/>
                      <w:sz w:val="20"/>
                      <w:lang w:eastAsia="bg-BG"/>
                    </w:rPr>
                    <w:t>водоподаването</w:t>
                  </w:r>
                  <w:proofErr w:type="spellEnd"/>
                  <w:r w:rsidRPr="00C6383A">
                    <w:rPr>
                      <w:rFonts w:ascii="Courier New" w:eastAsia="Times New Roman" w:hAnsi="Courier New" w:cs="Courier New"/>
                      <w:sz w:val="20"/>
                      <w:lang w:eastAsia="bg-BG"/>
                    </w:rPr>
                    <w:t xml:space="preserve"> по съществуващите водопроводи. Водопроводите ще се изграждат на участъци от </w:t>
                  </w:r>
                  <w:proofErr w:type="spellStart"/>
                  <w:r w:rsidRPr="00C6383A">
                    <w:rPr>
                      <w:rFonts w:ascii="Courier New" w:eastAsia="Times New Roman" w:hAnsi="Courier New" w:cs="Courier New"/>
                      <w:sz w:val="20"/>
                      <w:lang w:eastAsia="bg-BG"/>
                    </w:rPr>
                    <w:t>осово</w:t>
                  </w:r>
                  <w:proofErr w:type="spellEnd"/>
                  <w:r w:rsidRPr="00C6383A">
                    <w:rPr>
                      <w:rFonts w:ascii="Courier New" w:eastAsia="Times New Roman" w:hAnsi="Courier New" w:cs="Courier New"/>
                      <w:sz w:val="20"/>
                      <w:lang w:eastAsia="bg-BG"/>
                    </w:rPr>
                    <w:t xml:space="preserve"> кръстовище до </w:t>
                  </w:r>
                  <w:proofErr w:type="spellStart"/>
                  <w:r w:rsidRPr="00C6383A">
                    <w:rPr>
                      <w:rFonts w:ascii="Courier New" w:eastAsia="Times New Roman" w:hAnsi="Courier New" w:cs="Courier New"/>
                      <w:sz w:val="20"/>
                      <w:lang w:eastAsia="bg-BG"/>
                    </w:rPr>
                    <w:t>осово</w:t>
                  </w:r>
                  <w:proofErr w:type="spellEnd"/>
                  <w:r w:rsidRPr="00C6383A">
                    <w:rPr>
                      <w:rFonts w:ascii="Courier New" w:eastAsia="Times New Roman" w:hAnsi="Courier New" w:cs="Courier New"/>
                      <w:sz w:val="20"/>
                      <w:lang w:eastAsia="bg-BG"/>
                    </w:rPr>
                    <w:t xml:space="preserve"> кръстовище.Така се създава възможност да работи съществуващия водопровод по време на реконструкцията, да се пълни и изпразва новостроящия се участък, а също след изпитването и дезинфекцията му да се извършва превключване на съществуващите в участъка водопроводни отклонения и връзки с водопроводи по съседните улици.След проверка за необхванати консуматори чрез спиране </w:t>
                  </w:r>
                  <w:proofErr w:type="spellStart"/>
                  <w:r w:rsidRPr="00C6383A">
                    <w:rPr>
                      <w:rFonts w:ascii="Courier New" w:eastAsia="Times New Roman" w:hAnsi="Courier New" w:cs="Courier New"/>
                      <w:sz w:val="20"/>
                      <w:lang w:eastAsia="bg-BG"/>
                    </w:rPr>
                    <w:t>водоподаването</w:t>
                  </w:r>
                  <w:proofErr w:type="spellEnd"/>
                  <w:r w:rsidRPr="00C6383A">
                    <w:rPr>
                      <w:rFonts w:ascii="Courier New" w:eastAsia="Times New Roman" w:hAnsi="Courier New" w:cs="Courier New"/>
                      <w:sz w:val="20"/>
                      <w:lang w:eastAsia="bg-BG"/>
                    </w:rPr>
                    <w:t xml:space="preserve"> по нов и стар водопроводи едновременно, се пристъпва към изграждане на следващия участък.Всички частични или пълни затваряния на улици ще прави съгласно част временна организация на движението.При възможност с цел намаляване спиранията на </w:t>
                  </w:r>
                  <w:proofErr w:type="spellStart"/>
                  <w:r w:rsidRPr="00C6383A">
                    <w:rPr>
                      <w:rFonts w:ascii="Courier New" w:eastAsia="Times New Roman" w:hAnsi="Courier New" w:cs="Courier New"/>
                      <w:sz w:val="20"/>
                      <w:lang w:eastAsia="bg-BG"/>
                    </w:rPr>
                    <w:t>водоподаването</w:t>
                  </w:r>
                  <w:proofErr w:type="spellEnd"/>
                  <w:r w:rsidRPr="00C6383A">
                    <w:rPr>
                      <w:rFonts w:ascii="Courier New" w:eastAsia="Times New Roman" w:hAnsi="Courier New" w:cs="Courier New"/>
                      <w:sz w:val="20"/>
                      <w:lang w:eastAsia="bg-BG"/>
                    </w:rPr>
                    <w:t xml:space="preserve"> или движението по улицата, може да се изпълнява полагането на водопровода чрез нови методи, като </w:t>
                  </w:r>
                  <w:proofErr w:type="spellStart"/>
                  <w:r w:rsidRPr="00C6383A">
                    <w:rPr>
                      <w:rFonts w:ascii="Courier New" w:eastAsia="Times New Roman" w:hAnsi="Courier New" w:cs="Courier New"/>
                      <w:sz w:val="20"/>
                      <w:lang w:eastAsia="bg-BG"/>
                    </w:rPr>
                    <w:t>безизкопни</w:t>
                  </w:r>
                  <w:proofErr w:type="spellEnd"/>
                  <w:r w:rsidRPr="00C6383A">
                    <w:rPr>
                      <w:rFonts w:ascii="Courier New" w:eastAsia="Times New Roman" w:hAnsi="Courier New" w:cs="Courier New"/>
                      <w:sz w:val="20"/>
                      <w:lang w:eastAsia="bg-BG"/>
                    </w:rPr>
                    <w:t xml:space="preserve"> технологии при запазване диаметъра на проектната тръба.</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9409"/>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II.2.5) Критерии за възлагане</w:t>
                        </w:r>
                        <w:r w:rsidRPr="00C6383A">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2169"/>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Критериите по-долу</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tblPr>
                        <w:tblGrid>
                          <w:gridCol w:w="3485"/>
                          <w:gridCol w:w="5668"/>
                        </w:tblGrid>
                        <w:tr w:rsidR="00C6383A" w:rsidRPr="00C6383A">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Критерий за качество: </w:t>
                              </w:r>
                              <w:r w:rsidRPr="00C6383A">
                                <w:rPr>
                                  <w:rFonts w:ascii="Times New Roman" w:eastAsia="Times New Roman" w:hAnsi="Times New Roman" w:cs="Times New Roman"/>
                                  <w:sz w:val="24"/>
                                  <w:szCs w:val="24"/>
                                  <w:vertAlign w:val="superscript"/>
                                  <w:lang w:eastAsia="bg-BG"/>
                                </w:rPr>
                                <w:t>1</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20</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Име: </w:t>
                              </w:r>
                              <w:r w:rsidRPr="00C6383A">
                                <w:rPr>
                                  <w:rFonts w:ascii="Courier New" w:eastAsia="Times New Roman" w:hAnsi="Courier New" w:cs="Courier New"/>
                                  <w:sz w:val="20"/>
                                  <w:lang w:eastAsia="bg-BG"/>
                                </w:rPr>
                                <w:t>Предложение за изпълнение</w:t>
                              </w:r>
                              <w:r w:rsidRPr="00C6383A">
                                <w:rPr>
                                  <w:rFonts w:ascii="Times New Roman" w:eastAsia="Times New Roman" w:hAnsi="Times New Roman" w:cs="Times New Roman"/>
                                  <w:sz w:val="24"/>
                                  <w:szCs w:val="24"/>
                                  <w:lang w:eastAsia="bg-BG"/>
                                </w:rPr>
                                <w:t>    Тежест: </w:t>
                              </w:r>
                              <w:r w:rsidRPr="00C6383A">
                                <w:rPr>
                                  <w:rFonts w:ascii="Courier New" w:eastAsia="Times New Roman" w:hAnsi="Courier New" w:cs="Courier New"/>
                                  <w:sz w:val="20"/>
                                  <w:lang w:eastAsia="bg-BG"/>
                                </w:rPr>
                                <w:t>60 т.</w:t>
                              </w:r>
                            </w:p>
                          </w:tc>
                        </w:tr>
                        <w:tr w:rsidR="00C6383A" w:rsidRPr="00C6383A">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tblPr>
                              <w:tblGrid>
                                <w:gridCol w:w="60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Цена</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Тежест: </w:t>
                              </w:r>
                              <w:r w:rsidRPr="00C6383A">
                                <w:rPr>
                                  <w:rFonts w:ascii="Times New Roman" w:eastAsia="Times New Roman" w:hAnsi="Times New Roman" w:cs="Times New Roman"/>
                                  <w:sz w:val="24"/>
                                  <w:szCs w:val="24"/>
                                  <w:vertAlign w:val="superscript"/>
                                  <w:lang w:eastAsia="bg-BG"/>
                                </w:rPr>
                                <w:t>21</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40 т.</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II.2.6) Прогнозна стойност</w:t>
                  </w:r>
                  <w:r w:rsidRPr="00C6383A">
                    <w:rPr>
                      <w:rFonts w:ascii="Times New Roman" w:eastAsia="Times New Roman" w:hAnsi="Times New Roman" w:cs="Times New Roman"/>
                      <w:sz w:val="24"/>
                      <w:szCs w:val="24"/>
                      <w:lang w:eastAsia="bg-BG"/>
                    </w:rPr>
                    <w:br/>
                    <w:t>Стойност, без да се включва ДДС: </w:t>
                  </w:r>
                  <w:r w:rsidRPr="00C6383A">
                    <w:rPr>
                      <w:rFonts w:ascii="Courier New" w:eastAsia="Times New Roman" w:hAnsi="Courier New" w:cs="Courier New"/>
                      <w:sz w:val="20"/>
                      <w:lang w:eastAsia="bg-BG"/>
                    </w:rPr>
                    <w:t>500000</w:t>
                  </w:r>
                  <w:r w:rsidRPr="00C6383A">
                    <w:rPr>
                      <w:rFonts w:ascii="Times New Roman" w:eastAsia="Times New Roman" w:hAnsi="Times New Roman" w:cs="Times New Roman"/>
                      <w:sz w:val="24"/>
                      <w:szCs w:val="24"/>
                      <w:lang w:eastAsia="bg-BG"/>
                    </w:rPr>
                    <w:t>      Валута: </w:t>
                  </w:r>
                  <w:r w:rsidRPr="00C6383A">
                    <w:rPr>
                      <w:rFonts w:ascii="Courier New" w:eastAsia="Times New Roman" w:hAnsi="Courier New" w:cs="Courier New"/>
                      <w:sz w:val="20"/>
                      <w:lang w:eastAsia="bg-BG"/>
                    </w:rPr>
                    <w:t>BGN</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C6383A">
                    <w:rPr>
                      <w:rFonts w:ascii="Times New Roman" w:eastAsia="Times New Roman" w:hAnsi="Times New Roman" w:cs="Times New Roman"/>
                      <w:sz w:val="24"/>
                      <w:szCs w:val="24"/>
                      <w:lang w:eastAsia="bg-BG"/>
                    </w:rPr>
                    <w:br/>
                    <w:t>Продължителност в месеци: </w:t>
                  </w:r>
                  <w:r w:rsidRPr="00C6383A">
                    <w:rPr>
                      <w:rFonts w:ascii="Courier New" w:eastAsia="Times New Roman" w:hAnsi="Courier New" w:cs="Courier New"/>
                      <w:sz w:val="20"/>
                      <w:lang w:eastAsia="bg-BG"/>
                    </w:rPr>
                    <w:t>6</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sz w:val="24"/>
                      <w:szCs w:val="24"/>
                      <w:lang w:eastAsia="bg-BG"/>
                    </w:rPr>
                    <w:lastRenderedPageBreak/>
                    <w:t>Тази поръчка подлежи на подновяване:</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br/>
                    <w:t xml:space="preserve">Описание на </w:t>
                  </w:r>
                  <w:proofErr w:type="spellStart"/>
                  <w:r w:rsidRPr="00C6383A">
                    <w:rPr>
                      <w:rFonts w:ascii="Times New Roman" w:eastAsia="Times New Roman" w:hAnsi="Times New Roman" w:cs="Times New Roman"/>
                      <w:sz w:val="24"/>
                      <w:szCs w:val="24"/>
                      <w:lang w:eastAsia="bg-BG"/>
                    </w:rPr>
                    <w:t>подновяванията</w:t>
                  </w:r>
                  <w:proofErr w:type="spellEnd"/>
                  <w:r w:rsidRPr="00C6383A">
                    <w:rPr>
                      <w:rFonts w:ascii="Times New Roman" w:eastAsia="Times New Roman" w:hAnsi="Times New Roman" w:cs="Times New Roman"/>
                      <w:sz w:val="24"/>
                      <w:szCs w:val="24"/>
                      <w:lang w:eastAsia="bg-BG"/>
                    </w:rPr>
                    <w:t>: </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lastRenderedPageBreak/>
                    <w:t xml:space="preserve">II.2.9) Информация относно ограничение за броя на </w:t>
                  </w:r>
                  <w:proofErr w:type="spellStart"/>
                  <w:r w:rsidRPr="00C6383A">
                    <w:rPr>
                      <w:rFonts w:ascii="Times New Roman" w:eastAsia="Times New Roman" w:hAnsi="Times New Roman" w:cs="Times New Roman"/>
                      <w:b/>
                      <w:bCs/>
                      <w:sz w:val="24"/>
                      <w:szCs w:val="24"/>
                      <w:lang w:eastAsia="bg-BG"/>
                    </w:rPr>
                    <w:t>кадидатите</w:t>
                  </w:r>
                  <w:proofErr w:type="spellEnd"/>
                  <w:r w:rsidRPr="00C6383A">
                    <w:rPr>
                      <w:rFonts w:ascii="Times New Roman" w:eastAsia="Times New Roman" w:hAnsi="Times New Roman" w:cs="Times New Roman"/>
                      <w:b/>
                      <w:bCs/>
                      <w:sz w:val="24"/>
                      <w:szCs w:val="24"/>
                      <w:lang w:eastAsia="bg-BG"/>
                    </w:rPr>
                    <w:t>, които ще бъдат поканени </w:t>
                  </w:r>
                  <w:r w:rsidRPr="00C6383A">
                    <w:rPr>
                      <w:rFonts w:ascii="Times New Roman" w:eastAsia="Times New Roman" w:hAnsi="Times New Roman" w:cs="Times New Roman"/>
                      <w:i/>
                      <w:iCs/>
                      <w:sz w:val="24"/>
                      <w:szCs w:val="24"/>
                      <w:lang w:eastAsia="bg-BG"/>
                    </w:rPr>
                    <w:t>(с изключение на открити процедури)</w:t>
                  </w:r>
                  <w:r w:rsidRPr="00C6383A">
                    <w:rPr>
                      <w:rFonts w:ascii="Times New Roman" w:eastAsia="Times New Roman" w:hAnsi="Times New Roman" w:cs="Times New Roman"/>
                      <w:sz w:val="24"/>
                      <w:szCs w:val="24"/>
                      <w:lang w:eastAsia="bg-BG"/>
                    </w:rPr>
                    <w:br/>
                    <w:t>Очакван брой кандидати: </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i/>
                      <w:iCs/>
                      <w:sz w:val="24"/>
                      <w:szCs w:val="24"/>
                      <w:lang w:eastAsia="bg-BG"/>
                    </w:rPr>
                    <w:t>или</w:t>
                  </w:r>
                  <w:r w:rsidRPr="00C6383A">
                    <w:rPr>
                      <w:rFonts w:ascii="Times New Roman" w:eastAsia="Times New Roman" w:hAnsi="Times New Roman" w:cs="Times New Roman"/>
                      <w:sz w:val="24"/>
                      <w:szCs w:val="24"/>
                      <w:lang w:eastAsia="bg-BG"/>
                    </w:rPr>
                    <w:t> Предвиден минимален брой:  </w:t>
                  </w:r>
                  <w:r w:rsidRPr="00C6383A">
                    <w:rPr>
                      <w:rFonts w:ascii="Times New Roman" w:eastAsia="Times New Roman" w:hAnsi="Times New Roman" w:cs="Times New Roman"/>
                      <w:i/>
                      <w:iCs/>
                      <w:sz w:val="24"/>
                      <w:szCs w:val="24"/>
                      <w:lang w:eastAsia="bg-BG"/>
                    </w:rPr>
                    <w:t>/</w:t>
                  </w:r>
                  <w:r w:rsidRPr="00C6383A">
                    <w:rPr>
                      <w:rFonts w:ascii="Times New Roman" w:eastAsia="Times New Roman" w:hAnsi="Times New Roman" w:cs="Times New Roman"/>
                      <w:sz w:val="24"/>
                      <w:szCs w:val="24"/>
                      <w:lang w:eastAsia="bg-BG"/>
                    </w:rPr>
                    <w:t> Максимален брой: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C6383A">
                    <w:rPr>
                      <w:rFonts w:ascii="Times New Roman" w:eastAsia="Times New Roman" w:hAnsi="Times New Roman" w:cs="Times New Roman"/>
                      <w:sz w:val="24"/>
                      <w:szCs w:val="24"/>
                      <w:lang w:eastAsia="bg-BG"/>
                    </w:rPr>
                    <w:t>кандиадти</w:t>
                  </w:r>
                  <w:proofErr w:type="spellEnd"/>
                  <w:r w:rsidRPr="00C6383A">
                    <w:rPr>
                      <w:rFonts w:ascii="Times New Roman" w:eastAsia="Times New Roman" w:hAnsi="Times New Roman" w:cs="Times New Roman"/>
                      <w:sz w:val="24"/>
                      <w:szCs w:val="24"/>
                      <w:lang w:eastAsia="bg-BG"/>
                    </w:rPr>
                    <w:t>: </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II.2.10) Информация относно вариантите</w:t>
                  </w:r>
                  <w:r w:rsidRPr="00C6383A">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II.2.11) Информация относно опциите</w:t>
                  </w:r>
                  <w:r w:rsidRPr="00C6383A">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br/>
                    <w:t>Описание на опциите: </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II.2.12) Информация относно електронни каталози</w:t>
                  </w:r>
                  <w:r w:rsidRPr="00C6383A">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C6383A">
                    <w:rPr>
                      <w:rFonts w:ascii="Courier New" w:eastAsia="Times New Roman" w:hAnsi="Courier New" w:cs="Courier New"/>
                      <w:sz w:val="20"/>
                      <w:lang w:eastAsia="bg-BG"/>
                    </w:rPr>
                    <w:t>НЕ</w:t>
                  </w: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b/>
                      <w:bCs/>
                      <w:sz w:val="24"/>
                      <w:szCs w:val="24"/>
                      <w:lang w:eastAsia="bg-BG"/>
                    </w:rPr>
                    <w:t>II.2.13) Информация относно средства от Европейския съюз</w:t>
                  </w:r>
                  <w:r w:rsidRPr="00C6383A">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r w:rsidR="00C6383A" w:rsidRPr="00C6383A" w:rsidT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II.2.14) Допълнителна информация</w:t>
                  </w:r>
                  <w:r w:rsidRPr="00C6383A">
                    <w:rPr>
                      <w:rFonts w:ascii="Times New Roman" w:eastAsia="Times New Roman" w:hAnsi="Times New Roman" w:cs="Times New Roman"/>
                      <w:sz w:val="24"/>
                      <w:szCs w:val="24"/>
                      <w:lang w:eastAsia="bg-BG"/>
                    </w:rPr>
                    <w:t>: </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III.1) Условия за участие</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Списък и кратко описание на условията: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Всеки участник трябва да е вписан в Централния професионален регистър на строителя, за изпълнение на строежи четвърта група, втора категория, съгласно Правилника за реда за вписване и водене на Централния професионален регистър на строителя, а ако е чуждестранно физическо или юридическо лице, същото да има право (съгласно националното му законодателство и при условията на взаимно признаване) да изпълни предмета на поръчката.</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ДОКАЗВАНЕ: 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в Част IV: Критерии за подбор, буква А: Годност, т.1). При условията на чл. 67, ал. 5 от ЗОП възложителят може да изиска документи, чрез които се доказва декларираната в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информация - копие на валидно удостоверение за вписване в Централния професионален регистър на строителя или еквивалентен документ за чуждестранните участници, удостоверяващ правото на съответното лице (съгласно националното му законодателство) да изпълни предмета на поръчката.</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III.1.2) Икономическо и финансово състояние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Списък и кратко описание на критериите за подбор: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Участникът трябва да има валидна застраховка „Професионална отговорност в строителството” съгласно чл. 171, ал. 1 от ЗУТ с минимална застрахователна сума, съгласно чл. 5, ал. 2 от Наредбата за условията и реда за задължително застраховане в проектирането и строителство за категорията строителство, съобразно строежа – предмет на обществената поръчка.</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Изисквано минимално/ни ниво/а:</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в част IV Критерии за подбор, раздел Б: икономическо и финансово състояние, т.5). При условията на чл. 67, ал. 5 от ЗОП възложителят може да изиска документи, чрез които се доказва декларираната в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информация - копие на документи доказващ наличие на застраховка “Професионална отговорност”.</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lastRenderedPageBreak/>
              <w:t>III.1.3) Технически и професионални възможности</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Списък и кратко описание на критериите за подбор: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През последните 5 /пет/ години, считано от датата на подаване на офертата, всеки участник трябва да е изпълнил минимум 1(един) обект идентичен или сходен с предмета на поръчката. Под идентичен или сходен с предмета на поръчката обект следва да се разбира строително-монтажни работи по изграждане и/или реконструкция и/или рехабилитация и/или ремонт на водопроводни и/или канализационни мрежи с дължина минимум 500лм.Участникът трябва да разполага с инженерно – техническия състав за изпълнение на обществената поръчка със следните специалисти:1).Ръководител на обекта (1 бр.) – да притежава висше строително образование, специалност „</w:t>
            </w:r>
            <w:proofErr w:type="spellStart"/>
            <w:r w:rsidRPr="00C6383A">
              <w:rPr>
                <w:rFonts w:ascii="Courier New" w:eastAsia="Times New Roman" w:hAnsi="Courier New" w:cs="Courier New"/>
                <w:sz w:val="20"/>
                <w:lang w:eastAsia="bg-BG"/>
              </w:rPr>
              <w:t>ВиК</w:t>
            </w:r>
            <w:proofErr w:type="spellEnd"/>
            <w:r w:rsidRPr="00C6383A">
              <w:rPr>
                <w:rFonts w:ascii="Courier New" w:eastAsia="Times New Roman" w:hAnsi="Courier New" w:cs="Courier New"/>
                <w:sz w:val="20"/>
                <w:lang w:eastAsia="bg-BG"/>
              </w:rPr>
              <w:t>” или еквивалентна.;2).Технически ръководител (1 бр.) – лице, отговарящо на изискванията на чл. 163а от ЗУТ;3).Експерт по контрол на качеството (1 бр.) – лице с квалификация и професионален опит в областта на строителството, притежаващо Удостоверение/Сертификат за преминато професионално обучение по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еквивалентно за чуждестранни лица, съгласно законодателството на държавата, в която са установени. 4).Експерт по здравословни и безопасни условия на труд (1бр.) – лице, притежаващо валиден сертификат/талон/удостоверение или друг еквивалентен документ, доказващ квалификация, специализиран курс или друга форма за управление на безопасността и здравето в работните процеси. Под „еквивалентно образование” или „еквивалентна специалност” следва да се разбира, придобито образование или специалност приравнени към посочените. Приравнени са специалностите, при които учебната програма на специалността покрива най-малко 80 на сто от учебната програма на някоя от специалностите посочените по-горе.Участникът да има внедрени следните системи:</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система за управление на качеството съгласно стандарта EN ISO 9001:2015 или еквивалентен с обхват сходен на предмета на поръчката;</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система за управление на околната среда съгласно стандарта EN ISO 14001:2015 или еквивалентен с обхват сходен на предмета на поръчката;</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Изисквано минимално/ни ниво/а:</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 xml:space="preserve">През последните 5 /пет/ години, считано от датата на подаване на офертата, всеки участник трябва да е изпълнил минимум 1(един) обект идентичен или сходен с предмета на поръчката. Под идентичен или сходен с предмета на поръчката обект следва да се разбира строително-монтажни работи по изграждане и/или реконструкция и/или рехабилитация и/или ремонт на водопроводни и/или канализационни мрежи с дължина минимум 500 л.м.Участникът трябва да разполага с инженерно – техническия състав за изпълнение на обществената поръчка със следните специалисти:1).Ръководител на обекта (1 бр.) – да притежава висше </w:t>
            </w:r>
            <w:proofErr w:type="spellStart"/>
            <w:r w:rsidRPr="00C6383A">
              <w:rPr>
                <w:rFonts w:ascii="Courier New" w:eastAsia="Times New Roman" w:hAnsi="Courier New" w:cs="Courier New"/>
                <w:sz w:val="20"/>
                <w:lang w:eastAsia="bg-BG"/>
              </w:rPr>
              <w:t>строителноПри</w:t>
            </w:r>
            <w:proofErr w:type="spellEnd"/>
            <w:r w:rsidRPr="00C6383A">
              <w:rPr>
                <w:rFonts w:ascii="Courier New" w:eastAsia="Times New Roman" w:hAnsi="Courier New" w:cs="Courier New"/>
                <w:sz w:val="20"/>
                <w:lang w:eastAsia="bg-BG"/>
              </w:rPr>
              <w:t xml:space="preserve">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в Част IV:Критерии за подбор, буква В: технически и професионални способности, т. 1а). При условията на чл. 67, ал. 5 от ЗОП възложителят може да изиска документи, чрез които се доказва декларираната в </w:t>
            </w:r>
            <w:proofErr w:type="spellStart"/>
            <w:r w:rsidRPr="00C6383A">
              <w:rPr>
                <w:rFonts w:ascii="Courier New" w:eastAsia="Times New Roman" w:hAnsi="Courier New" w:cs="Courier New"/>
                <w:sz w:val="20"/>
                <w:lang w:eastAsia="bg-BG"/>
              </w:rPr>
              <w:t>еЕЕДОП</w:t>
            </w:r>
            <w:proofErr w:type="spellEnd"/>
            <w:r w:rsidRPr="00C6383A">
              <w:rPr>
                <w:rFonts w:ascii="Courier New" w:eastAsia="Times New Roman" w:hAnsi="Courier New" w:cs="Courier New"/>
                <w:sz w:val="20"/>
                <w:lang w:eastAsia="bg-BG"/>
              </w:rPr>
              <w:t xml:space="preserve"> информация - Списък на строителството, идентично или сходно с предмета на поръчката, изпълнено през последните 5 години, считано от датата на подаване на офертите с приложени към него копия на удостоверения за добро изпълнение на посоченото строителство, които да съдържат стойността, датата, на която е приключило изпълнението, мястото, вида и обема, както и дали е изпълнено в съответствие с нормативните изисквания.При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C6383A">
              <w:rPr>
                <w:rFonts w:ascii="Courier New" w:eastAsia="Times New Roman" w:hAnsi="Courier New" w:cs="Courier New"/>
                <w:sz w:val="20"/>
                <w:lang w:eastAsia="bg-BG"/>
              </w:rPr>
              <w:t>еЕЕДОП</w:t>
            </w:r>
            <w:proofErr w:type="spellEnd"/>
            <w:r w:rsidRPr="00C6383A">
              <w:rPr>
                <w:rFonts w:ascii="Courier New" w:eastAsia="Times New Roman" w:hAnsi="Courier New" w:cs="Courier New"/>
                <w:sz w:val="20"/>
                <w:lang w:eastAsia="bg-BG"/>
              </w:rPr>
              <w:t>),като представи списък на специалистите, които ще изпълняват обществената поръчка с посочени:</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Специалист/експерт (трите имена и позиция (длъжност), която ще заема лицето при изпълнение на обществената поръчка)</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Образование (степен, специалност, година на дипломиране, № на диплома, учебно заведение)</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Професионална квалификация (направление, година на придобиване, № на издадения документ, издател)</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 xml:space="preserve">Информацията се попълва в Част IV: Критерии за подбор, буква В: технически и професионални способности,т.6) от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При условията на чл. 67, ал. 5 от ЗОП възложителят може да изиска документи, чрез които се доказва декларираната в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 информация - Списък на специалистите, които ще изпълняват обществената поръчка, в който е посочена професионалната компетентност на лицата.При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)в Част IV: Критерии за подбор, буква Г: стандарти за осигуряване на качеството и стандарти за екологично управление от </w:t>
            </w:r>
            <w:proofErr w:type="spellStart"/>
            <w:r w:rsidRPr="00C6383A">
              <w:rPr>
                <w:rFonts w:ascii="Courier New" w:eastAsia="Times New Roman" w:hAnsi="Courier New" w:cs="Courier New"/>
                <w:sz w:val="20"/>
                <w:lang w:eastAsia="bg-BG"/>
              </w:rPr>
              <w:t>eЕЕДОП</w:t>
            </w:r>
            <w:proofErr w:type="spellEnd"/>
            <w:r w:rsidRPr="00C6383A">
              <w:rPr>
                <w:rFonts w:ascii="Courier New" w:eastAsia="Times New Roman" w:hAnsi="Courier New" w:cs="Courier New"/>
                <w:sz w:val="20"/>
                <w:lang w:eastAsia="bg-BG"/>
              </w:rPr>
              <w:t xml:space="preserve">.При условията на чл. 67, ал. 5 от ЗОП възложителят може да изиска документи, чрез които се доказва декларираната в ЕЕДОП информация - копия на валидни сертификати за система за управление на качеството съгласно стандарта EN ISO 9001:2015 или </w:t>
            </w:r>
            <w:proofErr w:type="spellStart"/>
            <w:r w:rsidRPr="00C6383A">
              <w:rPr>
                <w:rFonts w:ascii="Courier New" w:eastAsia="Times New Roman" w:hAnsi="Courier New" w:cs="Courier New"/>
                <w:sz w:val="20"/>
                <w:lang w:eastAsia="bg-BG"/>
              </w:rPr>
              <w:t>еквивал</w:t>
            </w:r>
            <w:proofErr w:type="spellEnd"/>
            <w:r w:rsidRPr="00C6383A">
              <w:rPr>
                <w:rFonts w:ascii="Courier New" w:eastAsia="Times New Roman" w:hAnsi="Courier New" w:cs="Courier New"/>
                <w:sz w:val="20"/>
                <w:lang w:eastAsia="bg-BG"/>
              </w:rPr>
              <w:t xml:space="preserve">. и система за управление на околната среда съгласно стандарта EN ISO 14001:2015 или </w:t>
            </w:r>
            <w:proofErr w:type="spellStart"/>
            <w:r w:rsidRPr="00C6383A">
              <w:rPr>
                <w:rFonts w:ascii="Courier New" w:eastAsia="Times New Roman" w:hAnsi="Courier New" w:cs="Courier New"/>
                <w:sz w:val="20"/>
                <w:lang w:eastAsia="bg-BG"/>
              </w:rPr>
              <w:t>еквивал</w:t>
            </w:r>
            <w:proofErr w:type="spellEnd"/>
            <w:r w:rsidRPr="00C6383A">
              <w:rPr>
                <w:rFonts w:ascii="Courier New" w:eastAsia="Times New Roman" w:hAnsi="Courier New" w:cs="Courier New"/>
                <w:sz w:val="20"/>
                <w:lang w:eastAsia="bg-BG"/>
              </w:rPr>
              <w:t>. обхват сходен на предмета на поръчката.</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управление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C6383A">
              <w:rPr>
                <w:rFonts w:ascii="Courier New" w:eastAsia="Times New Roman" w:hAnsi="Courier New" w:cs="Courier New"/>
                <w:sz w:val="20"/>
                <w:szCs w:val="20"/>
                <w:lang w:eastAsia="bg-BG"/>
              </w:rPr>
              <w:br/>
            </w:r>
            <w:r w:rsidRPr="00C6383A">
              <w:rPr>
                <w:rFonts w:ascii="Courier New" w:eastAsia="Times New Roman" w:hAnsi="Courier New" w:cs="Courier New"/>
                <w:sz w:val="20"/>
                <w:lang w:eastAsia="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III.1.5) Информация относно запазени поръчки</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C6383A">
              <w:rPr>
                <w:rFonts w:ascii="Courier New" w:eastAsia="Times New Roman" w:hAnsi="Courier New" w:cs="Courier New"/>
                <w:sz w:val="20"/>
                <w:lang w:eastAsia="bg-BG"/>
              </w:rPr>
              <w:t>НЕ</w:t>
            </w: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III.2) Условия във връзка с поръчката </w:t>
      </w:r>
      <w:r w:rsidRPr="00C6383A">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III.2.1) Информация относно определена професия</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(само за поръчки за услуги)</w:t>
            </w:r>
            <w:r w:rsidRPr="00C6383A">
              <w:rPr>
                <w:rFonts w:ascii="Times New Roman" w:eastAsia="Times New Roman" w:hAnsi="Times New Roman" w:cs="Times New Roman"/>
                <w:sz w:val="24"/>
                <w:szCs w:val="24"/>
                <w:lang w:eastAsia="bg-BG"/>
              </w:rPr>
              <w:br/>
            </w:r>
            <w:proofErr w:type="spellStart"/>
            <w:r w:rsidRPr="00C6383A">
              <w:rPr>
                <w:rFonts w:ascii="Times New Roman" w:eastAsia="Times New Roman" w:hAnsi="Times New Roman" w:cs="Times New Roman"/>
                <w:sz w:val="24"/>
                <w:szCs w:val="24"/>
                <w:lang w:eastAsia="bg-BG"/>
              </w:rPr>
              <w:t>Изпълненито</w:t>
            </w:r>
            <w:proofErr w:type="spellEnd"/>
            <w:r w:rsidRPr="00C6383A">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 </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III.2.2) Условия за изпълнение на поръчката</w:t>
            </w:r>
            <w:r w:rsidRPr="00C6383A">
              <w:rPr>
                <w:rFonts w:ascii="Times New Roman" w:eastAsia="Times New Roman" w:hAnsi="Times New Roman" w:cs="Times New Roman"/>
                <w:sz w:val="24"/>
                <w:szCs w:val="24"/>
                <w:lang w:eastAsia="bg-BG"/>
              </w:rPr>
              <w:t>: </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C6383A">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C6383A">
              <w:rPr>
                <w:rFonts w:ascii="Courier New" w:eastAsia="Times New Roman" w:hAnsi="Courier New" w:cs="Courier New"/>
                <w:sz w:val="20"/>
                <w:lang w:eastAsia="bg-BG"/>
              </w:rPr>
              <w:t>НЕ</w:t>
            </w:r>
          </w:p>
        </w:tc>
      </w:tr>
    </w:tbl>
    <w:p w:rsidR="00C6383A" w:rsidRPr="00C6383A" w:rsidRDefault="00C6383A" w:rsidP="00C6383A">
      <w:pPr>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lastRenderedPageBreak/>
        <w:t> Раздел IV:Процедура </w:t>
      </w: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IV.1) Описание</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048"/>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4792"/>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b/>
                            <w:bCs/>
                            <w:sz w:val="20"/>
                            <w:szCs w:val="20"/>
                            <w:lang w:eastAsia="bg-BG"/>
                          </w:rPr>
                        </w:pPr>
                        <w:r w:rsidRPr="00C6383A">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tblPr>
                        <w:tblGrid>
                          <w:gridCol w:w="2297"/>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Публично състезание</w:t>
                              </w:r>
                            </w:p>
                          </w:tc>
                        </w:tr>
                      </w:tbl>
                      <w:p w:rsidR="00C6383A" w:rsidRPr="00C6383A" w:rsidRDefault="00C6383A" w:rsidP="00C6383A">
                        <w:pPr>
                          <w:spacing w:after="0" w:line="240" w:lineRule="auto"/>
                          <w:rPr>
                            <w:rFonts w:ascii="Courier New" w:eastAsia="Times New Roman" w:hAnsi="Courier New" w:cs="Courier New"/>
                            <w:b/>
                            <w:bCs/>
                            <w:sz w:val="24"/>
                            <w:szCs w:val="24"/>
                            <w:lang w:eastAsia="bg-BG"/>
                          </w:rPr>
                        </w:pP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Ускорена процедура: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br/>
                          <w:t>Обосновка за избор на ускорена процедура: </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 xml:space="preserve">IV.1.3) Информация относно рамково </w:t>
            </w:r>
            <w:proofErr w:type="spellStart"/>
            <w:r w:rsidRPr="00C6383A">
              <w:rPr>
                <w:rFonts w:ascii="Times New Roman" w:eastAsia="Times New Roman" w:hAnsi="Times New Roman" w:cs="Times New Roman"/>
                <w:b/>
                <w:bCs/>
                <w:sz w:val="24"/>
                <w:szCs w:val="24"/>
                <w:lang w:eastAsia="bg-BG"/>
              </w:rPr>
              <w:t>споразмение</w:t>
            </w:r>
            <w:proofErr w:type="spellEnd"/>
            <w:r w:rsidRPr="00C6383A">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tblPr>
            <w:tblGrid>
              <w:gridCol w:w="11868"/>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C6383A">
                    <w:rPr>
                      <w:rFonts w:ascii="Courier New" w:eastAsia="Times New Roman" w:hAnsi="Courier New" w:cs="Courier New"/>
                      <w:sz w:val="20"/>
                      <w:lang w:eastAsia="bg-BG"/>
                    </w:rPr>
                    <w:t>НЕ</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C6383A">
                    <w:rPr>
                      <w:rFonts w:ascii="Courier New" w:eastAsia="Times New Roman" w:hAnsi="Courier New" w:cs="Courier New"/>
                      <w:sz w:val="20"/>
                      <w:lang w:eastAsia="bg-BG"/>
                    </w:rPr>
                    <w:t>НЕ</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C6383A">
                    <w:rPr>
                      <w:rFonts w:ascii="Courier New" w:eastAsia="Times New Roman" w:hAnsi="Courier New" w:cs="Courier New"/>
                      <w:sz w:val="20"/>
                      <w:lang w:eastAsia="bg-BG"/>
                    </w:rPr>
                    <w:t>НЕ</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C6383A">
              <w:rPr>
                <w:rFonts w:ascii="Courier New" w:eastAsia="Times New Roman" w:hAnsi="Courier New" w:cs="Courier New"/>
                <w:sz w:val="20"/>
                <w:lang w:eastAsia="bg-BG"/>
              </w:rPr>
              <w:t>НЕ</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IV.1.5) Информация относно договаряне </w:t>
            </w:r>
            <w:r w:rsidRPr="00C6383A">
              <w:rPr>
                <w:rFonts w:ascii="Times New Roman" w:eastAsia="Times New Roman" w:hAnsi="Times New Roman" w:cs="Times New Roman"/>
                <w:i/>
                <w:iCs/>
                <w:sz w:val="24"/>
                <w:szCs w:val="24"/>
                <w:lang w:eastAsia="bg-BG"/>
              </w:rPr>
              <w:t>(само за състезателни процедури с договаряне)</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C6383A">
              <w:rPr>
                <w:rFonts w:ascii="Courier New" w:eastAsia="Times New Roman" w:hAnsi="Courier New" w:cs="Courier New"/>
                <w:sz w:val="20"/>
                <w:lang w:eastAsia="bg-BG"/>
              </w:rPr>
              <w:t>НЕ</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IV.1.6) Информация относно електронния търг</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Ще се използва електронен търг: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br/>
              <w:t>Допълнителна информация относно електронния търг: </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tblPr>
            <w:tblGrid>
              <w:gridCol w:w="8766"/>
            </w:tblGrid>
            <w:tr w:rsidR="00C6383A" w:rsidRPr="00C6383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Courier New" w:eastAsia="Times New Roman" w:hAnsi="Courier New" w:cs="Courier New"/>
                      <w:sz w:val="24"/>
                      <w:szCs w:val="24"/>
                      <w:lang w:eastAsia="bg-BG"/>
                    </w:rPr>
                  </w:pP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IV.2) Административна информация</w:t>
      </w:r>
      <w:r w:rsidRPr="00C6383A">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IV.2.1) Предишна публикация относно тази процедура </w:t>
            </w:r>
            <w:r w:rsidRPr="00C6383A">
              <w:rPr>
                <w:rFonts w:ascii="Times New Roman" w:eastAsia="Times New Roman" w:hAnsi="Times New Roman" w:cs="Times New Roman"/>
                <w:sz w:val="24"/>
                <w:szCs w:val="24"/>
                <w:vertAlign w:val="superscript"/>
                <w:lang w:eastAsia="bg-BG"/>
              </w:rPr>
              <w:t>2</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Номер на обявлението в ОВ на ЕС: </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C6383A">
              <w:rPr>
                <w:rFonts w:ascii="Times New Roman" w:eastAsia="Times New Roman" w:hAnsi="Times New Roman" w:cs="Times New Roman"/>
                <w:sz w:val="24"/>
                <w:szCs w:val="24"/>
                <w:lang w:eastAsia="bg-BG"/>
              </w:rPr>
              <w:br/>
              <w:t>Номер на обявлението в РОП:</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lastRenderedPageBreak/>
              <w:t>Дата: </w:t>
            </w:r>
            <w:r w:rsidRPr="00C6383A">
              <w:rPr>
                <w:rFonts w:ascii="Courier New" w:eastAsia="Times New Roman" w:hAnsi="Courier New" w:cs="Courier New"/>
                <w:sz w:val="20"/>
                <w:lang w:eastAsia="bg-BG"/>
              </w:rPr>
              <w:t>14/06/2018</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дд</w:t>
            </w:r>
            <w:proofErr w:type="spellEnd"/>
            <w:r w:rsidRPr="00C6383A">
              <w:rPr>
                <w:rFonts w:ascii="Times New Roman" w:eastAsia="Times New Roman" w:hAnsi="Times New Roman" w:cs="Times New Roman"/>
                <w:i/>
                <w:iCs/>
                <w:sz w:val="24"/>
                <w:szCs w:val="24"/>
                <w:lang w:eastAsia="bg-BG"/>
              </w:rPr>
              <w:t>/мм/</w:t>
            </w:r>
            <w:proofErr w:type="spellStart"/>
            <w:r w:rsidRPr="00C6383A">
              <w:rPr>
                <w:rFonts w:ascii="Times New Roman" w:eastAsia="Times New Roman" w:hAnsi="Times New Roman" w:cs="Times New Roman"/>
                <w:i/>
                <w:iCs/>
                <w:sz w:val="24"/>
                <w:szCs w:val="24"/>
                <w:lang w:eastAsia="bg-BG"/>
              </w:rPr>
              <w:t>гггг</w:t>
            </w:r>
            <w:proofErr w:type="spellEnd"/>
            <w:r w:rsidRPr="00C6383A">
              <w:rPr>
                <w:rFonts w:ascii="Times New Roman" w:eastAsia="Times New Roman" w:hAnsi="Times New Roman" w:cs="Times New Roman"/>
                <w:i/>
                <w:iCs/>
                <w:sz w:val="24"/>
                <w:szCs w:val="24"/>
                <w:lang w:eastAsia="bg-BG"/>
              </w:rPr>
              <w:t>)</w:t>
            </w:r>
            <w:r w:rsidRPr="00C6383A">
              <w:rPr>
                <w:rFonts w:ascii="Times New Roman" w:eastAsia="Times New Roman" w:hAnsi="Times New Roman" w:cs="Times New Roman"/>
                <w:sz w:val="24"/>
                <w:szCs w:val="24"/>
                <w:lang w:eastAsia="bg-BG"/>
              </w:rPr>
              <w:t>   Местно време: </w:t>
            </w:r>
            <w:r w:rsidRPr="00C6383A">
              <w:rPr>
                <w:rFonts w:ascii="Courier New" w:eastAsia="Times New Roman" w:hAnsi="Courier New" w:cs="Courier New"/>
                <w:sz w:val="20"/>
                <w:lang w:eastAsia="bg-BG"/>
              </w:rPr>
              <w:t>17:00</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чч</w:t>
            </w:r>
            <w:proofErr w:type="spellEnd"/>
            <w:r w:rsidRPr="00C6383A">
              <w:rPr>
                <w:rFonts w:ascii="Times New Roman" w:eastAsia="Times New Roman" w:hAnsi="Times New Roman" w:cs="Times New Roman"/>
                <w:i/>
                <w:iCs/>
                <w:sz w:val="24"/>
                <w:szCs w:val="24"/>
                <w:lang w:eastAsia="bg-BG"/>
              </w:rPr>
              <w:t>:мм)</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lastRenderedPageBreak/>
              <w:t>IV.2.3) Прогнозна дата на изпращане на покани за търг или за участие на избраните кандидати </w:t>
            </w:r>
            <w:r w:rsidRPr="00C6383A">
              <w:rPr>
                <w:rFonts w:ascii="Times New Roman" w:eastAsia="Times New Roman" w:hAnsi="Times New Roman" w:cs="Times New Roman"/>
                <w:sz w:val="24"/>
                <w:szCs w:val="24"/>
                <w:vertAlign w:val="superscript"/>
                <w:lang w:eastAsia="bg-BG"/>
              </w:rPr>
              <w:t>4</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Дата:    </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C6383A">
              <w:rPr>
                <w:rFonts w:ascii="Times New Roman" w:eastAsia="Times New Roman" w:hAnsi="Times New Roman" w:cs="Times New Roman"/>
                <w:sz w:val="24"/>
                <w:szCs w:val="24"/>
                <w:vertAlign w:val="superscript"/>
                <w:lang w:eastAsia="bg-BG"/>
              </w:rPr>
              <w:t>1</w:t>
            </w:r>
            <w:r w:rsidRPr="00C6383A">
              <w:rPr>
                <w:rFonts w:ascii="Times New Roman" w:eastAsia="Times New Roman" w:hAnsi="Times New Roman" w:cs="Times New Roman"/>
                <w:sz w:val="24"/>
                <w:szCs w:val="24"/>
                <w:lang w:eastAsia="bg-BG"/>
              </w:rPr>
              <w:t>  </w:t>
            </w:r>
            <w:r w:rsidRPr="00C6383A">
              <w:rPr>
                <w:rFonts w:ascii="Courier New" w:eastAsia="Times New Roman" w:hAnsi="Courier New" w:cs="Courier New"/>
                <w:sz w:val="20"/>
                <w:lang w:eastAsia="bg-BG"/>
              </w:rPr>
              <w:t>BG</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 xml:space="preserve">IV.2.6) Минимален срок, през който </w:t>
            </w:r>
            <w:proofErr w:type="spellStart"/>
            <w:r w:rsidRPr="00C6383A">
              <w:rPr>
                <w:rFonts w:ascii="Times New Roman" w:eastAsia="Times New Roman" w:hAnsi="Times New Roman" w:cs="Times New Roman"/>
                <w:b/>
                <w:bCs/>
                <w:sz w:val="24"/>
                <w:szCs w:val="24"/>
                <w:lang w:eastAsia="bg-BG"/>
              </w:rPr>
              <w:t>оферентът</w:t>
            </w:r>
            <w:proofErr w:type="spellEnd"/>
            <w:r w:rsidRPr="00C6383A">
              <w:rPr>
                <w:rFonts w:ascii="Times New Roman" w:eastAsia="Times New Roman" w:hAnsi="Times New Roman" w:cs="Times New Roman"/>
                <w:b/>
                <w:bCs/>
                <w:sz w:val="24"/>
                <w:szCs w:val="24"/>
                <w:lang w:eastAsia="bg-BG"/>
              </w:rPr>
              <w:t xml:space="preserve"> е обвързан от офертата</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Офертата трябва да бъде валидна до: </w:t>
            </w:r>
            <w:r w:rsidRPr="00C6383A">
              <w:rPr>
                <w:rFonts w:ascii="Times New Roman" w:eastAsia="Times New Roman" w:hAnsi="Times New Roman" w:cs="Times New Roman"/>
                <w:sz w:val="24"/>
                <w:szCs w:val="24"/>
                <w:lang w:eastAsia="bg-BG"/>
              </w:rPr>
              <w:br/>
            </w:r>
            <w:r w:rsidRPr="00C6383A">
              <w:rPr>
                <w:rFonts w:ascii="Times New Roman" w:eastAsia="Times New Roman" w:hAnsi="Times New Roman" w:cs="Times New Roman"/>
                <w:i/>
                <w:iCs/>
                <w:sz w:val="24"/>
                <w:szCs w:val="24"/>
                <w:lang w:eastAsia="bg-BG"/>
              </w:rPr>
              <w:t>или </w:t>
            </w:r>
            <w:r w:rsidRPr="00C6383A">
              <w:rPr>
                <w:rFonts w:ascii="Times New Roman" w:eastAsia="Times New Roman" w:hAnsi="Times New Roman" w:cs="Times New Roman"/>
                <w:sz w:val="24"/>
                <w:szCs w:val="24"/>
                <w:lang w:eastAsia="bg-BG"/>
              </w:rPr>
              <w:t>Продължителност в месеци: </w:t>
            </w:r>
            <w:r w:rsidRPr="00C6383A">
              <w:rPr>
                <w:rFonts w:ascii="Courier New" w:eastAsia="Times New Roman" w:hAnsi="Courier New" w:cs="Courier New"/>
                <w:sz w:val="20"/>
                <w:lang w:eastAsia="bg-BG"/>
              </w:rPr>
              <w:t>6</w:t>
            </w:r>
          </w:p>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before="100" w:beforeAutospacing="1" w:after="100" w:afterAutospacing="1"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IV.2.7) Условия за отваряне на офертите</w:t>
            </w:r>
          </w:p>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Дата: </w:t>
            </w:r>
            <w:r w:rsidRPr="00C6383A">
              <w:rPr>
                <w:rFonts w:ascii="Courier New" w:eastAsia="Times New Roman" w:hAnsi="Courier New" w:cs="Courier New"/>
                <w:sz w:val="20"/>
                <w:lang w:eastAsia="bg-BG"/>
              </w:rPr>
              <w:t>15/06/2018</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дд</w:t>
            </w:r>
            <w:proofErr w:type="spellEnd"/>
            <w:r w:rsidRPr="00C6383A">
              <w:rPr>
                <w:rFonts w:ascii="Times New Roman" w:eastAsia="Times New Roman" w:hAnsi="Times New Roman" w:cs="Times New Roman"/>
                <w:i/>
                <w:iCs/>
                <w:sz w:val="24"/>
                <w:szCs w:val="24"/>
                <w:lang w:eastAsia="bg-BG"/>
              </w:rPr>
              <w:t>/мм/</w:t>
            </w:r>
            <w:proofErr w:type="spellStart"/>
            <w:r w:rsidRPr="00C6383A">
              <w:rPr>
                <w:rFonts w:ascii="Times New Roman" w:eastAsia="Times New Roman" w:hAnsi="Times New Roman" w:cs="Times New Roman"/>
                <w:i/>
                <w:iCs/>
                <w:sz w:val="24"/>
                <w:szCs w:val="24"/>
                <w:lang w:eastAsia="bg-BG"/>
              </w:rPr>
              <w:t>гггг</w:t>
            </w:r>
            <w:proofErr w:type="spellEnd"/>
            <w:r w:rsidRPr="00C6383A">
              <w:rPr>
                <w:rFonts w:ascii="Times New Roman" w:eastAsia="Times New Roman" w:hAnsi="Times New Roman" w:cs="Times New Roman"/>
                <w:i/>
                <w:iCs/>
                <w:sz w:val="24"/>
                <w:szCs w:val="24"/>
                <w:lang w:eastAsia="bg-BG"/>
              </w:rPr>
              <w:t>)</w:t>
            </w:r>
            <w:r w:rsidRPr="00C6383A">
              <w:rPr>
                <w:rFonts w:ascii="Times New Roman" w:eastAsia="Times New Roman" w:hAnsi="Times New Roman" w:cs="Times New Roman"/>
                <w:sz w:val="24"/>
                <w:szCs w:val="24"/>
                <w:lang w:eastAsia="bg-BG"/>
              </w:rPr>
              <w:t>   Местно време: </w:t>
            </w:r>
            <w:r w:rsidRPr="00C6383A">
              <w:rPr>
                <w:rFonts w:ascii="Courier New" w:eastAsia="Times New Roman" w:hAnsi="Courier New" w:cs="Courier New"/>
                <w:sz w:val="20"/>
                <w:lang w:eastAsia="bg-BG"/>
              </w:rPr>
              <w:t>10:00</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i/>
                <w:iCs/>
                <w:sz w:val="24"/>
                <w:szCs w:val="24"/>
                <w:lang w:eastAsia="bg-BG"/>
              </w:rPr>
              <w:t>(</w:t>
            </w:r>
            <w:proofErr w:type="spellStart"/>
            <w:r w:rsidRPr="00C6383A">
              <w:rPr>
                <w:rFonts w:ascii="Times New Roman" w:eastAsia="Times New Roman" w:hAnsi="Times New Roman" w:cs="Times New Roman"/>
                <w:i/>
                <w:iCs/>
                <w:sz w:val="24"/>
                <w:szCs w:val="24"/>
                <w:lang w:eastAsia="bg-BG"/>
              </w:rPr>
              <w:t>чч</w:t>
            </w:r>
            <w:proofErr w:type="spellEnd"/>
            <w:r w:rsidRPr="00C6383A">
              <w:rPr>
                <w:rFonts w:ascii="Times New Roman" w:eastAsia="Times New Roman" w:hAnsi="Times New Roman" w:cs="Times New Roman"/>
                <w:i/>
                <w:iCs/>
                <w:sz w:val="24"/>
                <w:szCs w:val="24"/>
                <w:lang w:eastAsia="bg-BG"/>
              </w:rPr>
              <w:t>:мм)</w:t>
            </w:r>
            <w:r w:rsidRPr="00C6383A">
              <w:rPr>
                <w:rFonts w:ascii="Times New Roman" w:eastAsia="Times New Roman" w:hAnsi="Times New Roman" w:cs="Times New Roman"/>
                <w:sz w:val="24"/>
                <w:szCs w:val="24"/>
                <w:lang w:eastAsia="bg-BG"/>
              </w:rPr>
              <w:br/>
              <w:t>Място: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В заседателна зала №14,ет.2 в сградата на община Симеоновград,пл.Шейновски № 3, гр.Симеоновград.</w:t>
            </w:r>
            <w:r w:rsidRPr="00C6383A">
              <w:rPr>
                <w:rFonts w:ascii="Times New Roman" w:eastAsia="Times New Roman" w:hAnsi="Times New Roman" w:cs="Times New Roman"/>
                <w:sz w:val="24"/>
                <w:szCs w:val="24"/>
                <w:lang w:eastAsia="bg-BG"/>
              </w:rPr>
              <w:br/>
              <w:t>Информация относно упълномощените лица и процедурата на отваряне: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Отваряне на постъпилите оферти е публично и на него могат да присъстват участниците в процедурата или техни упълномощени представители,както и представители на средствата за масово осведомяване.</w:t>
            </w:r>
          </w:p>
        </w:tc>
      </w:tr>
    </w:tbl>
    <w:p w:rsidR="00C6383A" w:rsidRPr="00C6383A" w:rsidRDefault="00C6383A" w:rsidP="00C6383A">
      <w:pPr>
        <w:spacing w:after="0" w:line="240" w:lineRule="auto"/>
        <w:rPr>
          <w:rFonts w:ascii="Trebuchet MS" w:eastAsia="Times New Roman" w:hAnsi="Trebuchet MS" w:cs="Times New Roman"/>
          <w:b/>
          <w:bCs/>
          <w:color w:val="000000"/>
          <w:lang w:eastAsia="bg-BG"/>
        </w:rPr>
      </w:pPr>
      <w:r w:rsidRPr="00C6383A">
        <w:rPr>
          <w:rFonts w:ascii="Trebuchet MS" w:eastAsia="Times New Roman" w:hAnsi="Trebuchet MS" w:cs="Times New Roman"/>
          <w:b/>
          <w:bCs/>
          <w:color w:val="000000"/>
          <w:lang w:eastAsia="bg-BG"/>
        </w:rPr>
        <w:t> Раздел VI: Допълнителна информация</w:t>
      </w:r>
    </w:p>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Courier New" w:eastAsia="Times New Roman" w:hAnsi="Courier New" w:cs="Courier New"/>
                <w:sz w:val="20"/>
                <w:szCs w:val="20"/>
                <w:lang w:eastAsia="bg-BG"/>
              </w:rPr>
            </w:pPr>
            <w:r w:rsidRPr="00C6383A">
              <w:rPr>
                <w:rFonts w:ascii="Times New Roman" w:eastAsia="Times New Roman" w:hAnsi="Times New Roman" w:cs="Times New Roman"/>
                <w:sz w:val="24"/>
                <w:szCs w:val="24"/>
                <w:lang w:eastAsia="bg-BG"/>
              </w:rPr>
              <w:t xml:space="preserve">Това </w:t>
            </w:r>
            <w:proofErr w:type="spellStart"/>
            <w:r w:rsidRPr="00C6383A">
              <w:rPr>
                <w:rFonts w:ascii="Times New Roman" w:eastAsia="Times New Roman" w:hAnsi="Times New Roman" w:cs="Times New Roman"/>
                <w:sz w:val="24"/>
                <w:szCs w:val="24"/>
                <w:lang w:eastAsia="bg-BG"/>
              </w:rPr>
              <w:t>представялява</w:t>
            </w:r>
            <w:proofErr w:type="spellEnd"/>
            <w:r w:rsidRPr="00C6383A">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tblPr>
            <w:tblGrid>
              <w:gridCol w:w="325"/>
            </w:tblGrid>
            <w:tr w:rsidR="00C6383A" w:rsidRPr="00C6383A">
              <w:trPr>
                <w:tblCellSpacing w:w="15" w:type="dxa"/>
              </w:trPr>
              <w:tc>
                <w:tcPr>
                  <w:tcW w:w="0" w:type="auto"/>
                  <w:tcBorders>
                    <w:top w:val="nil"/>
                    <w:left w:val="nil"/>
                    <w:bottom w:val="nil"/>
                    <w:right w:val="nil"/>
                  </w:tcBorders>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не</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C6383A">
              <w:rPr>
                <w:rFonts w:ascii="Times New Roman" w:eastAsia="Times New Roman" w:hAnsi="Times New Roman" w:cs="Times New Roman"/>
                <w:sz w:val="24"/>
                <w:szCs w:val="24"/>
                <w:vertAlign w:val="superscript"/>
                <w:lang w:eastAsia="bg-BG"/>
              </w:rPr>
              <w:t>2</w:t>
            </w:r>
            <w:r w:rsidRPr="00C6383A">
              <w:rPr>
                <w:rFonts w:ascii="Times New Roman" w:eastAsia="Times New Roman" w:hAnsi="Times New Roman" w:cs="Times New Roman"/>
                <w:sz w:val="24"/>
                <w:szCs w:val="24"/>
                <w:lang w:eastAsia="bg-BG"/>
              </w:rPr>
              <w:t> </w:t>
            </w: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Ще се прилага електронно поръчване: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br/>
              <w:t>Ще се използва електронно фактуриране: </w:t>
            </w:r>
            <w:r w:rsidRPr="00C6383A">
              <w:rPr>
                <w:rFonts w:ascii="Courier New" w:eastAsia="Times New Roman" w:hAnsi="Courier New" w:cs="Courier New"/>
                <w:sz w:val="20"/>
                <w:lang w:eastAsia="bg-BG"/>
              </w:rPr>
              <w:t>НЕ</w:t>
            </w:r>
            <w:r w:rsidRPr="00C6383A">
              <w:rPr>
                <w:rFonts w:ascii="Times New Roman" w:eastAsia="Times New Roman" w:hAnsi="Times New Roman" w:cs="Times New Roman"/>
                <w:sz w:val="24"/>
                <w:szCs w:val="24"/>
                <w:lang w:eastAsia="bg-BG"/>
              </w:rPr>
              <w:br/>
              <w:t>Ще се приема електронно заплащане: </w:t>
            </w:r>
            <w:r w:rsidRPr="00C6383A">
              <w:rPr>
                <w:rFonts w:ascii="Courier New" w:eastAsia="Times New Roman" w:hAnsi="Courier New" w:cs="Courier New"/>
                <w:sz w:val="20"/>
                <w:lang w:eastAsia="bg-BG"/>
              </w:rPr>
              <w:t>НЕ</w:t>
            </w: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VI.3) Допълнителна информация </w:t>
      </w:r>
      <w:r w:rsidRPr="00C6383A">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VI.4) Процедури по обжалване </w:t>
      </w:r>
    </w:p>
    <w:tbl>
      <w:tblPr>
        <w:tblW w:w="21600" w:type="dxa"/>
        <w:tblCellMar>
          <w:top w:w="15" w:type="dxa"/>
          <w:left w:w="15" w:type="dxa"/>
          <w:bottom w:w="15" w:type="dxa"/>
          <w:right w:w="15" w:type="dxa"/>
        </w:tblCellMar>
        <w:tblLook w:val="04A0"/>
      </w:tblPr>
      <w:tblGrid>
        <w:gridCol w:w="21766"/>
      </w:tblGrid>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917"/>
              <w:gridCol w:w="8078"/>
              <w:gridCol w:w="8605"/>
            </w:tblGrid>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Официално наименование: </w:t>
                  </w:r>
                  <w:r w:rsidRPr="00C6383A">
                    <w:rPr>
                      <w:rFonts w:ascii="Courier New" w:eastAsia="Times New Roman" w:hAnsi="Courier New" w:cs="Courier New"/>
                      <w:sz w:val="20"/>
                      <w:lang w:eastAsia="bg-BG"/>
                    </w:rPr>
                    <w:t>Комисия за защита на конкуренцията</w:t>
                  </w:r>
                </w:p>
              </w:tc>
            </w:tr>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адрес: </w:t>
                  </w:r>
                  <w:r w:rsidRPr="00C6383A">
                    <w:rPr>
                      <w:rFonts w:ascii="Courier New" w:eastAsia="Times New Roman" w:hAnsi="Courier New" w:cs="Courier New"/>
                      <w:sz w:val="20"/>
                      <w:lang w:eastAsia="bg-BG"/>
                    </w:rPr>
                    <w:t>бул. Витоша № 18</w:t>
                  </w:r>
                </w:p>
              </w:tc>
            </w:tr>
            <w:tr w:rsidR="00C6383A" w:rsidRP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Град: </w:t>
                  </w:r>
                  <w:r w:rsidRPr="00C6383A">
                    <w:rPr>
                      <w:rFonts w:ascii="Courier New" w:eastAsia="Times New Roman" w:hAnsi="Courier New" w:cs="Courier New"/>
                      <w:sz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код: </w:t>
                  </w:r>
                  <w:r w:rsidRPr="00C6383A">
                    <w:rPr>
                      <w:rFonts w:ascii="Courier New" w:eastAsia="Times New Roman" w:hAnsi="Courier New" w:cs="Courier New"/>
                      <w:sz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Държава: </w:t>
                  </w:r>
                  <w:r w:rsidRPr="00C6383A">
                    <w:rPr>
                      <w:rFonts w:ascii="Courier New" w:eastAsia="Times New Roman" w:hAnsi="Courier New" w:cs="Courier New"/>
                      <w:sz w:val="20"/>
                      <w:lang w:eastAsia="bg-BG"/>
                    </w:rPr>
                    <w:t>България</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lastRenderedPageBreak/>
                    <w:t>Електронна поща: </w:t>
                  </w:r>
                  <w:r w:rsidRPr="00C6383A">
                    <w:rPr>
                      <w:rFonts w:ascii="Courier New" w:eastAsia="Times New Roman" w:hAnsi="Courier New" w:cs="Courier New"/>
                      <w:sz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Телефон: </w:t>
                  </w:r>
                  <w:r w:rsidRPr="00C6383A">
                    <w:rPr>
                      <w:rFonts w:ascii="Courier New" w:eastAsia="Times New Roman" w:hAnsi="Courier New" w:cs="Courier New"/>
                      <w:sz w:val="20"/>
                      <w:lang w:eastAsia="bg-BG"/>
                    </w:rPr>
                    <w:t>+359 29884070</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Интернет адрес: </w:t>
                  </w:r>
                  <w:r w:rsidRPr="00C6383A">
                    <w:rPr>
                      <w:rFonts w:ascii="Times New Roman" w:eastAsia="Times New Roman" w:hAnsi="Times New Roman" w:cs="Times New Roman"/>
                      <w:i/>
                      <w:iCs/>
                      <w:sz w:val="24"/>
                      <w:szCs w:val="24"/>
                      <w:lang w:eastAsia="bg-BG"/>
                    </w:rPr>
                    <w:t>(URL)</w:t>
                  </w:r>
                  <w:r w:rsidRPr="00C6383A">
                    <w:rPr>
                      <w:rFonts w:ascii="Times New Roman" w:eastAsia="Times New Roman" w:hAnsi="Times New Roman" w:cs="Times New Roman"/>
                      <w:sz w:val="24"/>
                      <w:szCs w:val="24"/>
                      <w:lang w:eastAsia="bg-BG"/>
                    </w:rPr>
                    <w:t> </w:t>
                  </w:r>
                  <w:hyperlink r:id="rId10" w:tgtFrame="_blank" w:history="1">
                    <w:r w:rsidRPr="00C6383A">
                      <w:rPr>
                        <w:rFonts w:ascii="Courier New" w:eastAsia="Times New Roman" w:hAnsi="Courier New" w:cs="Courier New"/>
                        <w:color w:val="0000FF"/>
                        <w:sz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Факс: </w:t>
                  </w:r>
                  <w:r w:rsidRPr="00C6383A">
                    <w:rPr>
                      <w:rFonts w:ascii="Courier New" w:eastAsia="Times New Roman" w:hAnsi="Courier New" w:cs="Courier New"/>
                      <w:sz w:val="20"/>
                      <w:lang w:eastAsia="bg-BG"/>
                    </w:rPr>
                    <w:t>+359 29807315</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lastRenderedPageBreak/>
              <w:t>VI.4.2) Орган, който отговаря за процедурите по медиация</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Официално наименование:</w:t>
                  </w:r>
                </w:p>
              </w:tc>
            </w:tr>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адрес:</w:t>
                  </w:r>
                </w:p>
              </w:tc>
            </w:tr>
            <w:tr w:rsidR="00C6383A" w:rsidRP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Държава:</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Телефон:</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Интернет адрес: </w:t>
                  </w:r>
                  <w:r w:rsidRPr="00C6383A">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Факс:</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VI.4.3) Подаване на жалби</w:t>
            </w:r>
            <w:r w:rsidRPr="00C6383A">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r w:rsidRPr="00C6383A">
              <w:rPr>
                <w:rFonts w:ascii="Times New Roman" w:eastAsia="Times New Roman" w:hAnsi="Times New Roman" w:cs="Times New Roman"/>
                <w:sz w:val="24"/>
                <w:szCs w:val="24"/>
                <w:lang w:eastAsia="bg-BG"/>
              </w:rPr>
              <w:br/>
            </w:r>
            <w:r w:rsidRPr="00C6383A">
              <w:rPr>
                <w:rFonts w:ascii="Courier New" w:eastAsia="Times New Roman" w:hAnsi="Courier New" w:cs="Courier New"/>
                <w:sz w:val="20"/>
                <w:lang w:eastAsia="bg-BG"/>
              </w:rPr>
              <w:t>Съгласно чл.197, ал.1 от ЗОП.</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C6383A">
              <w:rPr>
                <w:rFonts w:ascii="Times New Roman" w:eastAsia="Times New Roman" w:hAnsi="Times New Roman" w:cs="Times New Roman"/>
                <w:sz w:val="24"/>
                <w:szCs w:val="24"/>
                <w:lang w:eastAsia="bg-BG"/>
              </w:rPr>
              <w:t> </w:t>
            </w:r>
            <w:r w:rsidRPr="00C6383A">
              <w:rPr>
                <w:rFonts w:ascii="Times New Roman" w:eastAsia="Times New Roman" w:hAnsi="Times New Roman" w:cs="Times New Roman"/>
                <w:sz w:val="24"/>
                <w:szCs w:val="24"/>
                <w:vertAlign w:val="superscript"/>
                <w:lang w:eastAsia="bg-BG"/>
              </w:rPr>
              <w:t>2</w:t>
            </w:r>
          </w:p>
        </w:tc>
      </w:tr>
      <w:tr w:rsidR="00C6383A" w:rsidRPr="00C6383A" w:rsidT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Официално наименование:</w:t>
                  </w:r>
                </w:p>
              </w:tc>
            </w:tr>
            <w:tr w:rsidR="00C6383A" w:rsidRPr="00C6383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адрес:</w:t>
                  </w:r>
                </w:p>
              </w:tc>
            </w:tr>
            <w:tr w:rsidR="00C6383A" w:rsidRPr="00C638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Държава:</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Телефон:</w:t>
                  </w:r>
                </w:p>
              </w:tc>
            </w:tr>
            <w:tr w:rsidR="00C6383A" w:rsidRPr="00C6383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Интернет адрес: </w:t>
                  </w:r>
                  <w:r w:rsidRPr="00C6383A">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lang w:eastAsia="bg-BG"/>
                    </w:rPr>
                    <w:t>Факс:</w:t>
                  </w:r>
                </w:p>
              </w:tc>
            </w:tr>
          </w:tbl>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bl>
    <w:p w:rsidR="00C6383A" w:rsidRPr="00C6383A" w:rsidRDefault="00C6383A" w:rsidP="00C6383A">
      <w:pPr>
        <w:spacing w:before="100" w:beforeAutospacing="1" w:after="100" w:afterAutospacing="1"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b/>
          <w:bCs/>
          <w:color w:val="000000"/>
          <w:sz w:val="18"/>
          <w:lang w:eastAsia="bg-BG"/>
        </w:rPr>
        <w:t>VI.5) Дата на изпращане на настоящото обявление: </w:t>
      </w:r>
      <w:r w:rsidRPr="00C6383A">
        <w:rPr>
          <w:rFonts w:ascii="Courier New" w:eastAsia="Times New Roman" w:hAnsi="Courier New" w:cs="Courier New"/>
          <w:color w:val="000000"/>
          <w:sz w:val="20"/>
          <w:lang w:eastAsia="bg-BG"/>
        </w:rPr>
        <w:t>17/05/2018</w:t>
      </w:r>
      <w:r w:rsidRPr="00C6383A">
        <w:rPr>
          <w:rFonts w:ascii="Trebuchet MS" w:eastAsia="Times New Roman" w:hAnsi="Trebuchet MS" w:cs="Times New Roman"/>
          <w:color w:val="000000"/>
          <w:sz w:val="16"/>
          <w:lang w:eastAsia="bg-BG"/>
        </w:rPr>
        <w:t> </w:t>
      </w:r>
      <w:r w:rsidRPr="00C6383A">
        <w:rPr>
          <w:rFonts w:ascii="Trebuchet MS" w:eastAsia="Times New Roman" w:hAnsi="Trebuchet MS" w:cs="Times New Roman"/>
          <w:i/>
          <w:iCs/>
          <w:color w:val="000000"/>
          <w:sz w:val="16"/>
          <w:lang w:eastAsia="bg-BG"/>
        </w:rPr>
        <w:t>(</w:t>
      </w:r>
      <w:proofErr w:type="spellStart"/>
      <w:r w:rsidRPr="00C6383A">
        <w:rPr>
          <w:rFonts w:ascii="Trebuchet MS" w:eastAsia="Times New Roman" w:hAnsi="Trebuchet MS" w:cs="Times New Roman"/>
          <w:i/>
          <w:iCs/>
          <w:color w:val="000000"/>
          <w:sz w:val="16"/>
          <w:lang w:eastAsia="bg-BG"/>
        </w:rPr>
        <w:t>дд</w:t>
      </w:r>
      <w:proofErr w:type="spellEnd"/>
      <w:r w:rsidRPr="00C6383A">
        <w:rPr>
          <w:rFonts w:ascii="Trebuchet MS" w:eastAsia="Times New Roman" w:hAnsi="Trebuchet MS" w:cs="Times New Roman"/>
          <w:i/>
          <w:iCs/>
          <w:color w:val="000000"/>
          <w:sz w:val="16"/>
          <w:lang w:eastAsia="bg-BG"/>
        </w:rPr>
        <w:t>/мм/</w:t>
      </w:r>
      <w:proofErr w:type="spellStart"/>
      <w:r w:rsidRPr="00C6383A">
        <w:rPr>
          <w:rFonts w:ascii="Trebuchet MS" w:eastAsia="Times New Roman" w:hAnsi="Trebuchet MS" w:cs="Times New Roman"/>
          <w:i/>
          <w:iCs/>
          <w:color w:val="000000"/>
          <w:sz w:val="16"/>
          <w:lang w:eastAsia="bg-BG"/>
        </w:rPr>
        <w:t>гггг</w:t>
      </w:r>
      <w:proofErr w:type="spellEnd"/>
      <w:r w:rsidRPr="00C6383A">
        <w:rPr>
          <w:rFonts w:ascii="Trebuchet MS" w:eastAsia="Times New Roman" w:hAnsi="Trebuchet MS" w:cs="Times New Roman"/>
          <w:i/>
          <w:iCs/>
          <w:color w:val="000000"/>
          <w:sz w:val="16"/>
          <w:lang w:eastAsia="bg-BG"/>
        </w:rPr>
        <w:t>)</w:t>
      </w:r>
    </w:p>
    <w:p w:rsidR="00C6383A" w:rsidRPr="00C6383A" w:rsidRDefault="00C6383A" w:rsidP="00C6383A">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C6383A" w:rsidRPr="00C6383A" w:rsidRDefault="00C6383A" w:rsidP="00C6383A">
      <w:pPr>
        <w:spacing w:after="0" w:line="240" w:lineRule="auto"/>
        <w:rPr>
          <w:rFonts w:ascii="Trebuchet MS" w:eastAsia="Times New Roman" w:hAnsi="Trebuchet MS" w:cs="Times New Roman"/>
          <w:color w:val="000000"/>
          <w:sz w:val="16"/>
          <w:szCs w:val="16"/>
          <w:lang w:eastAsia="bg-BG"/>
        </w:rPr>
      </w:pPr>
      <w:r w:rsidRPr="00C6383A">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35"/>
        <w:gridCol w:w="8927"/>
      </w:tblGrid>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повторете, колкото пъти е необходимо</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2</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в приложимите случаи</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3</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4</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ако тази информация е известна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5</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6</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доколкото информацията е вече известна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7</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задължителна информация, която не се публикува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8</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информация по избор</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9</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10</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11</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lastRenderedPageBreak/>
              <w:t>12</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13</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14</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C6383A">
              <w:rPr>
                <w:rFonts w:ascii="Times New Roman" w:eastAsia="Times New Roman" w:hAnsi="Times New Roman" w:cs="Times New Roman"/>
                <w:i/>
                <w:iCs/>
                <w:sz w:val="24"/>
                <w:szCs w:val="24"/>
                <w:lang w:eastAsia="bg-BG"/>
              </w:rPr>
              <w:t>участите</w:t>
            </w:r>
            <w:proofErr w:type="spellEnd"/>
            <w:r w:rsidRPr="00C6383A">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15</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16</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17</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18</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19</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20</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може да бъде присъдена значимост вместо тежест</w:t>
            </w:r>
          </w:p>
        </w:tc>
      </w:tr>
      <w:tr w:rsidR="00C6383A" w:rsidRPr="00C6383A" w:rsidTr="00C6383A">
        <w:trPr>
          <w:tblCellSpacing w:w="15" w:type="dxa"/>
        </w:trPr>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sz w:val="24"/>
                <w:szCs w:val="24"/>
                <w:vertAlign w:val="superscript"/>
                <w:lang w:eastAsia="bg-BG"/>
              </w:rPr>
              <w:t>21</w:t>
            </w:r>
          </w:p>
        </w:tc>
        <w:tc>
          <w:tcPr>
            <w:tcW w:w="0" w:type="auto"/>
            <w:vAlign w:val="center"/>
            <w:hideMark/>
          </w:tcPr>
          <w:p w:rsidR="00C6383A" w:rsidRPr="00C6383A" w:rsidRDefault="00C6383A" w:rsidP="00C6383A">
            <w:pPr>
              <w:spacing w:after="0" w:line="240" w:lineRule="auto"/>
              <w:rPr>
                <w:rFonts w:ascii="Times New Roman" w:eastAsia="Times New Roman" w:hAnsi="Times New Roman" w:cs="Times New Roman"/>
                <w:sz w:val="24"/>
                <w:szCs w:val="24"/>
                <w:lang w:eastAsia="bg-BG"/>
              </w:rPr>
            </w:pPr>
            <w:r w:rsidRPr="00C6383A">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8612FA" w:rsidRDefault="008612FA"/>
    <w:sectPr w:rsidR="008612FA" w:rsidSect="008612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C6383A"/>
    <w:rsid w:val="008612FA"/>
    <w:rsid w:val="00C6383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FA"/>
  </w:style>
  <w:style w:type="paragraph" w:styleId="1">
    <w:name w:val="heading 1"/>
    <w:basedOn w:val="a"/>
    <w:link w:val="10"/>
    <w:uiPriority w:val="9"/>
    <w:qFormat/>
    <w:rsid w:val="00C63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6383A"/>
    <w:rPr>
      <w:rFonts w:ascii="Times New Roman" w:eastAsia="Times New Roman" w:hAnsi="Times New Roman" w:cs="Times New Roman"/>
      <w:b/>
      <w:bCs/>
      <w:kern w:val="36"/>
      <w:sz w:val="48"/>
      <w:szCs w:val="48"/>
      <w:lang w:eastAsia="bg-BG"/>
    </w:rPr>
  </w:style>
  <w:style w:type="character" w:customStyle="1" w:styleId="inputvalue">
    <w:name w:val="input_value"/>
    <w:basedOn w:val="a0"/>
    <w:rsid w:val="00C6383A"/>
  </w:style>
  <w:style w:type="character" w:customStyle="1" w:styleId="inputlabel">
    <w:name w:val="input_label"/>
    <w:basedOn w:val="a0"/>
    <w:rsid w:val="00C6383A"/>
  </w:style>
  <w:style w:type="character" w:styleId="a3">
    <w:name w:val="Hyperlink"/>
    <w:basedOn w:val="a0"/>
    <w:uiPriority w:val="99"/>
    <w:semiHidden/>
    <w:unhideWhenUsed/>
    <w:rsid w:val="00C6383A"/>
    <w:rPr>
      <w:color w:val="0000FF"/>
      <w:u w:val="single"/>
    </w:rPr>
  </w:style>
  <w:style w:type="paragraph" w:styleId="a4">
    <w:name w:val="Normal (Web)"/>
    <w:basedOn w:val="a"/>
    <w:uiPriority w:val="99"/>
    <w:unhideWhenUsed/>
    <w:rsid w:val="00C6383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a0"/>
    <w:rsid w:val="00C6383A"/>
  </w:style>
  <w:style w:type="paragraph" w:styleId="a5">
    <w:name w:val="Balloon Text"/>
    <w:basedOn w:val="a"/>
    <w:link w:val="a6"/>
    <w:uiPriority w:val="99"/>
    <w:semiHidden/>
    <w:unhideWhenUsed/>
    <w:rsid w:val="00C6383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C63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71823">
      <w:bodyDiv w:val="1"/>
      <w:marLeft w:val="0"/>
      <w:marRight w:val="0"/>
      <w:marTop w:val="0"/>
      <w:marBottom w:val="0"/>
      <w:divBdr>
        <w:top w:val="none" w:sz="0" w:space="0" w:color="auto"/>
        <w:left w:val="none" w:sz="0" w:space="0" w:color="auto"/>
        <w:bottom w:val="none" w:sz="0" w:space="0" w:color="auto"/>
        <w:right w:val="none" w:sz="0" w:space="0" w:color="auto"/>
      </w:divBdr>
      <w:divsChild>
        <w:div w:id="197623697">
          <w:marLeft w:val="0"/>
          <w:marRight w:val="0"/>
          <w:marTop w:val="0"/>
          <w:marBottom w:val="0"/>
          <w:divBdr>
            <w:top w:val="none" w:sz="0" w:space="0" w:color="auto"/>
            <w:left w:val="none" w:sz="0" w:space="0" w:color="auto"/>
            <w:bottom w:val="none" w:sz="0" w:space="0" w:color="auto"/>
            <w:right w:val="none" w:sz="0" w:space="0" w:color="auto"/>
          </w:divBdr>
          <w:divsChild>
            <w:div w:id="997000805">
              <w:marLeft w:val="0"/>
              <w:marRight w:val="0"/>
              <w:marTop w:val="0"/>
              <w:marBottom w:val="0"/>
              <w:divBdr>
                <w:top w:val="none" w:sz="0" w:space="0" w:color="auto"/>
                <w:left w:val="none" w:sz="0" w:space="0" w:color="auto"/>
                <w:bottom w:val="none" w:sz="0" w:space="0" w:color="auto"/>
                <w:right w:val="none" w:sz="0" w:space="0" w:color="auto"/>
              </w:divBdr>
            </w:div>
            <w:div w:id="1808083301">
              <w:marLeft w:val="0"/>
              <w:marRight w:val="0"/>
              <w:marTop w:val="0"/>
              <w:marBottom w:val="0"/>
              <w:divBdr>
                <w:top w:val="none" w:sz="0" w:space="0" w:color="auto"/>
                <w:left w:val="none" w:sz="0" w:space="0" w:color="auto"/>
                <w:bottom w:val="none" w:sz="0" w:space="0" w:color="auto"/>
                <w:right w:val="none" w:sz="0" w:space="0" w:color="auto"/>
              </w:divBdr>
            </w:div>
          </w:divsChild>
        </w:div>
        <w:div w:id="118958691">
          <w:marLeft w:val="0"/>
          <w:marRight w:val="0"/>
          <w:marTop w:val="0"/>
          <w:marBottom w:val="0"/>
          <w:divBdr>
            <w:top w:val="none" w:sz="0" w:space="0" w:color="auto"/>
            <w:left w:val="none" w:sz="0" w:space="0" w:color="auto"/>
            <w:bottom w:val="none" w:sz="0" w:space="0" w:color="auto"/>
            <w:right w:val="none" w:sz="0" w:space="0" w:color="auto"/>
          </w:divBdr>
        </w:div>
        <w:div w:id="578826485">
          <w:marLeft w:val="0"/>
          <w:marRight w:val="0"/>
          <w:marTop w:val="0"/>
          <w:marBottom w:val="0"/>
          <w:divBdr>
            <w:top w:val="none" w:sz="0" w:space="0" w:color="auto"/>
            <w:left w:val="none" w:sz="0" w:space="0" w:color="auto"/>
            <w:bottom w:val="none" w:sz="0" w:space="0" w:color="auto"/>
            <w:right w:val="none" w:sz="0" w:space="0" w:color="auto"/>
          </w:divBdr>
        </w:div>
        <w:div w:id="2121680087">
          <w:marLeft w:val="0"/>
          <w:marRight w:val="0"/>
          <w:marTop w:val="0"/>
          <w:marBottom w:val="150"/>
          <w:divBdr>
            <w:top w:val="none" w:sz="0" w:space="0" w:color="auto"/>
            <w:left w:val="none" w:sz="0" w:space="0" w:color="auto"/>
            <w:bottom w:val="none" w:sz="0" w:space="0" w:color="auto"/>
            <w:right w:val="none" w:sz="0" w:space="0" w:color="auto"/>
          </w:divBdr>
          <w:divsChild>
            <w:div w:id="1039278623">
              <w:marLeft w:val="0"/>
              <w:marRight w:val="0"/>
              <w:marTop w:val="0"/>
              <w:marBottom w:val="0"/>
              <w:divBdr>
                <w:top w:val="none" w:sz="0" w:space="0" w:color="auto"/>
                <w:left w:val="none" w:sz="0" w:space="0" w:color="auto"/>
                <w:bottom w:val="none" w:sz="0" w:space="0" w:color="auto"/>
                <w:right w:val="none" w:sz="0" w:space="0" w:color="auto"/>
              </w:divBdr>
            </w:div>
            <w:div w:id="2143619167">
              <w:marLeft w:val="0"/>
              <w:marRight w:val="0"/>
              <w:marTop w:val="0"/>
              <w:marBottom w:val="0"/>
              <w:divBdr>
                <w:top w:val="none" w:sz="0" w:space="0" w:color="auto"/>
                <w:left w:val="none" w:sz="0" w:space="0" w:color="auto"/>
                <w:bottom w:val="none" w:sz="0" w:space="0" w:color="auto"/>
                <w:right w:val="none" w:sz="0" w:space="0" w:color="auto"/>
              </w:divBdr>
            </w:div>
            <w:div w:id="765660769">
              <w:marLeft w:val="0"/>
              <w:marRight w:val="0"/>
              <w:marTop w:val="0"/>
              <w:marBottom w:val="0"/>
              <w:divBdr>
                <w:top w:val="none" w:sz="0" w:space="0" w:color="auto"/>
                <w:left w:val="none" w:sz="0" w:space="0" w:color="auto"/>
                <w:bottom w:val="none" w:sz="0" w:space="0" w:color="auto"/>
                <w:right w:val="none" w:sz="0" w:space="0" w:color="auto"/>
              </w:divBdr>
            </w:div>
            <w:div w:id="769201847">
              <w:marLeft w:val="0"/>
              <w:marRight w:val="0"/>
              <w:marTop w:val="0"/>
              <w:marBottom w:val="0"/>
              <w:divBdr>
                <w:top w:val="none" w:sz="0" w:space="0" w:color="auto"/>
                <w:left w:val="none" w:sz="0" w:space="0" w:color="auto"/>
                <w:bottom w:val="none" w:sz="0" w:space="0" w:color="auto"/>
                <w:right w:val="none" w:sz="0" w:space="0" w:color="auto"/>
              </w:divBdr>
            </w:div>
          </w:divsChild>
        </w:div>
        <w:div w:id="302395455">
          <w:marLeft w:val="0"/>
          <w:marRight w:val="0"/>
          <w:marTop w:val="0"/>
          <w:marBottom w:val="0"/>
          <w:divBdr>
            <w:top w:val="none" w:sz="0" w:space="0" w:color="auto"/>
            <w:left w:val="none" w:sz="0" w:space="0" w:color="auto"/>
            <w:bottom w:val="none" w:sz="0" w:space="0" w:color="auto"/>
            <w:right w:val="none" w:sz="0" w:space="0" w:color="auto"/>
          </w:divBdr>
        </w:div>
        <w:div w:id="1904563869">
          <w:marLeft w:val="0"/>
          <w:marRight w:val="0"/>
          <w:marTop w:val="0"/>
          <w:marBottom w:val="0"/>
          <w:divBdr>
            <w:top w:val="none" w:sz="0" w:space="0" w:color="auto"/>
            <w:left w:val="none" w:sz="0" w:space="0" w:color="auto"/>
            <w:bottom w:val="none" w:sz="0" w:space="0" w:color="auto"/>
            <w:right w:val="none" w:sz="0" w:space="0" w:color="auto"/>
          </w:divBdr>
        </w:div>
        <w:div w:id="1063724072">
          <w:marLeft w:val="0"/>
          <w:marRight w:val="0"/>
          <w:marTop w:val="0"/>
          <w:marBottom w:val="150"/>
          <w:divBdr>
            <w:top w:val="single" w:sz="12" w:space="4" w:color="000000"/>
            <w:left w:val="single" w:sz="12" w:space="4" w:color="000000"/>
            <w:bottom w:val="single" w:sz="12" w:space="4" w:color="000000"/>
            <w:right w:val="single" w:sz="12" w:space="4" w:color="000000"/>
          </w:divBdr>
          <w:divsChild>
            <w:div w:id="1741907381">
              <w:marLeft w:val="0"/>
              <w:marRight w:val="0"/>
              <w:marTop w:val="0"/>
              <w:marBottom w:val="0"/>
              <w:divBdr>
                <w:top w:val="none" w:sz="0" w:space="0" w:color="auto"/>
                <w:left w:val="none" w:sz="0" w:space="0" w:color="auto"/>
                <w:bottom w:val="none" w:sz="0" w:space="0" w:color="auto"/>
                <w:right w:val="none" w:sz="0" w:space="0" w:color="auto"/>
              </w:divBdr>
            </w:div>
            <w:div w:id="1967929666">
              <w:marLeft w:val="0"/>
              <w:marRight w:val="0"/>
              <w:marTop w:val="0"/>
              <w:marBottom w:val="0"/>
              <w:divBdr>
                <w:top w:val="none" w:sz="0" w:space="0" w:color="auto"/>
                <w:left w:val="none" w:sz="0" w:space="0" w:color="auto"/>
                <w:bottom w:val="none" w:sz="0" w:space="0" w:color="auto"/>
                <w:right w:val="none" w:sz="0" w:space="0" w:color="auto"/>
              </w:divBdr>
              <w:divsChild>
                <w:div w:id="21249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235">
          <w:marLeft w:val="0"/>
          <w:marRight w:val="0"/>
          <w:marTop w:val="0"/>
          <w:marBottom w:val="0"/>
          <w:divBdr>
            <w:top w:val="none" w:sz="0" w:space="0" w:color="auto"/>
            <w:left w:val="none" w:sz="0" w:space="0" w:color="auto"/>
            <w:bottom w:val="none" w:sz="0" w:space="0" w:color="auto"/>
            <w:right w:val="none" w:sz="0" w:space="0" w:color="auto"/>
          </w:divBdr>
          <w:divsChild>
            <w:div w:id="2116509913">
              <w:marLeft w:val="0"/>
              <w:marRight w:val="0"/>
              <w:marTop w:val="0"/>
              <w:marBottom w:val="150"/>
              <w:divBdr>
                <w:top w:val="none" w:sz="0" w:space="0" w:color="auto"/>
                <w:left w:val="none" w:sz="0" w:space="0" w:color="auto"/>
                <w:bottom w:val="none" w:sz="0" w:space="0" w:color="auto"/>
                <w:right w:val="none" w:sz="0" w:space="0" w:color="auto"/>
              </w:divBdr>
              <w:divsChild>
                <w:div w:id="799499044">
                  <w:marLeft w:val="0"/>
                  <w:marRight w:val="0"/>
                  <w:marTop w:val="0"/>
                  <w:marBottom w:val="0"/>
                  <w:divBdr>
                    <w:top w:val="none" w:sz="0" w:space="0" w:color="auto"/>
                    <w:left w:val="none" w:sz="0" w:space="0" w:color="auto"/>
                    <w:bottom w:val="none" w:sz="0" w:space="0" w:color="auto"/>
                    <w:right w:val="none" w:sz="0" w:space="0" w:color="auto"/>
                  </w:divBdr>
                </w:div>
                <w:div w:id="170874766">
                  <w:marLeft w:val="0"/>
                  <w:marRight w:val="0"/>
                  <w:marTop w:val="0"/>
                  <w:marBottom w:val="0"/>
                  <w:divBdr>
                    <w:top w:val="none" w:sz="0" w:space="0" w:color="auto"/>
                    <w:left w:val="none" w:sz="0" w:space="0" w:color="auto"/>
                    <w:bottom w:val="none" w:sz="0" w:space="0" w:color="auto"/>
                    <w:right w:val="none" w:sz="0" w:space="0" w:color="auto"/>
                  </w:divBdr>
                </w:div>
              </w:divsChild>
            </w:div>
            <w:div w:id="157967013">
              <w:marLeft w:val="0"/>
              <w:marRight w:val="0"/>
              <w:marTop w:val="0"/>
              <w:marBottom w:val="0"/>
              <w:divBdr>
                <w:top w:val="none" w:sz="0" w:space="0" w:color="auto"/>
                <w:left w:val="none" w:sz="0" w:space="0" w:color="auto"/>
                <w:bottom w:val="none" w:sz="0" w:space="0" w:color="auto"/>
                <w:right w:val="none" w:sz="0" w:space="0" w:color="auto"/>
              </w:divBdr>
            </w:div>
          </w:divsChild>
        </w:div>
        <w:div w:id="170993083">
          <w:marLeft w:val="0"/>
          <w:marRight w:val="0"/>
          <w:marTop w:val="0"/>
          <w:marBottom w:val="0"/>
          <w:divBdr>
            <w:top w:val="none" w:sz="0" w:space="0" w:color="auto"/>
            <w:left w:val="none" w:sz="0" w:space="0" w:color="auto"/>
            <w:bottom w:val="none" w:sz="0" w:space="0" w:color="auto"/>
            <w:right w:val="none" w:sz="0" w:space="0" w:color="auto"/>
          </w:divBdr>
          <w:divsChild>
            <w:div w:id="732318300">
              <w:marLeft w:val="0"/>
              <w:marRight w:val="0"/>
              <w:marTop w:val="0"/>
              <w:marBottom w:val="150"/>
              <w:divBdr>
                <w:top w:val="none" w:sz="0" w:space="0" w:color="auto"/>
                <w:left w:val="none" w:sz="0" w:space="0" w:color="auto"/>
                <w:bottom w:val="none" w:sz="0" w:space="0" w:color="auto"/>
                <w:right w:val="none" w:sz="0" w:space="0" w:color="auto"/>
              </w:divBdr>
              <w:divsChild>
                <w:div w:id="130952340">
                  <w:marLeft w:val="0"/>
                  <w:marRight w:val="0"/>
                  <w:marTop w:val="0"/>
                  <w:marBottom w:val="0"/>
                  <w:divBdr>
                    <w:top w:val="none" w:sz="0" w:space="0" w:color="auto"/>
                    <w:left w:val="none" w:sz="0" w:space="0" w:color="auto"/>
                    <w:bottom w:val="none" w:sz="0" w:space="0" w:color="auto"/>
                    <w:right w:val="none" w:sz="0" w:space="0" w:color="auto"/>
                  </w:divBdr>
                </w:div>
                <w:div w:id="1814832599">
                  <w:marLeft w:val="0"/>
                  <w:marRight w:val="0"/>
                  <w:marTop w:val="0"/>
                  <w:marBottom w:val="0"/>
                  <w:divBdr>
                    <w:top w:val="none" w:sz="0" w:space="0" w:color="auto"/>
                    <w:left w:val="none" w:sz="0" w:space="0" w:color="auto"/>
                    <w:bottom w:val="none" w:sz="0" w:space="0" w:color="auto"/>
                    <w:right w:val="none" w:sz="0" w:space="0" w:color="auto"/>
                  </w:divBdr>
                  <w:divsChild>
                    <w:div w:id="804393505">
                      <w:marLeft w:val="0"/>
                      <w:marRight w:val="0"/>
                      <w:marTop w:val="0"/>
                      <w:marBottom w:val="0"/>
                      <w:divBdr>
                        <w:top w:val="none" w:sz="0" w:space="0" w:color="auto"/>
                        <w:left w:val="none" w:sz="0" w:space="0" w:color="auto"/>
                        <w:bottom w:val="none" w:sz="0" w:space="0" w:color="auto"/>
                        <w:right w:val="none" w:sz="0" w:space="0" w:color="auto"/>
                      </w:divBdr>
                    </w:div>
                    <w:div w:id="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6602">
              <w:marLeft w:val="0"/>
              <w:marRight w:val="0"/>
              <w:marTop w:val="0"/>
              <w:marBottom w:val="0"/>
              <w:divBdr>
                <w:top w:val="none" w:sz="0" w:space="0" w:color="auto"/>
                <w:left w:val="none" w:sz="0" w:space="0" w:color="auto"/>
                <w:bottom w:val="none" w:sz="0" w:space="0" w:color="auto"/>
                <w:right w:val="none" w:sz="0" w:space="0" w:color="auto"/>
              </w:divBdr>
            </w:div>
          </w:divsChild>
        </w:div>
        <w:div w:id="1011447571">
          <w:marLeft w:val="0"/>
          <w:marRight w:val="0"/>
          <w:marTop w:val="0"/>
          <w:marBottom w:val="0"/>
          <w:divBdr>
            <w:top w:val="none" w:sz="0" w:space="0" w:color="auto"/>
            <w:left w:val="none" w:sz="0" w:space="0" w:color="auto"/>
            <w:bottom w:val="none" w:sz="0" w:space="0" w:color="auto"/>
            <w:right w:val="none" w:sz="0" w:space="0" w:color="auto"/>
          </w:divBdr>
          <w:divsChild>
            <w:div w:id="666977276">
              <w:marLeft w:val="0"/>
              <w:marRight w:val="0"/>
              <w:marTop w:val="0"/>
              <w:marBottom w:val="150"/>
              <w:divBdr>
                <w:top w:val="none" w:sz="0" w:space="0" w:color="auto"/>
                <w:left w:val="none" w:sz="0" w:space="0" w:color="auto"/>
                <w:bottom w:val="none" w:sz="0" w:space="0" w:color="auto"/>
                <w:right w:val="none" w:sz="0" w:space="0" w:color="auto"/>
              </w:divBdr>
              <w:divsChild>
                <w:div w:id="413481365">
                  <w:marLeft w:val="0"/>
                  <w:marRight w:val="0"/>
                  <w:marTop w:val="0"/>
                  <w:marBottom w:val="0"/>
                  <w:divBdr>
                    <w:top w:val="none" w:sz="0" w:space="0" w:color="auto"/>
                    <w:left w:val="none" w:sz="0" w:space="0" w:color="auto"/>
                    <w:bottom w:val="none" w:sz="0" w:space="0" w:color="auto"/>
                    <w:right w:val="none" w:sz="0" w:space="0" w:color="auto"/>
                  </w:divBdr>
                </w:div>
                <w:div w:id="468473366">
                  <w:marLeft w:val="0"/>
                  <w:marRight w:val="0"/>
                  <w:marTop w:val="0"/>
                  <w:marBottom w:val="0"/>
                  <w:divBdr>
                    <w:top w:val="none" w:sz="0" w:space="0" w:color="auto"/>
                    <w:left w:val="none" w:sz="0" w:space="0" w:color="auto"/>
                    <w:bottom w:val="none" w:sz="0" w:space="0" w:color="auto"/>
                    <w:right w:val="none" w:sz="0" w:space="0" w:color="auto"/>
                  </w:divBdr>
                </w:div>
                <w:div w:id="926159586">
                  <w:marLeft w:val="0"/>
                  <w:marRight w:val="0"/>
                  <w:marTop w:val="0"/>
                  <w:marBottom w:val="0"/>
                  <w:divBdr>
                    <w:top w:val="none" w:sz="0" w:space="0" w:color="auto"/>
                    <w:left w:val="none" w:sz="0" w:space="0" w:color="auto"/>
                    <w:bottom w:val="none" w:sz="0" w:space="0" w:color="auto"/>
                    <w:right w:val="none" w:sz="0" w:space="0" w:color="auto"/>
                  </w:divBdr>
                </w:div>
                <w:div w:id="2016106926">
                  <w:marLeft w:val="0"/>
                  <w:marRight w:val="0"/>
                  <w:marTop w:val="0"/>
                  <w:marBottom w:val="0"/>
                  <w:divBdr>
                    <w:top w:val="none" w:sz="0" w:space="0" w:color="auto"/>
                    <w:left w:val="none" w:sz="0" w:space="0" w:color="auto"/>
                    <w:bottom w:val="none" w:sz="0" w:space="0" w:color="auto"/>
                    <w:right w:val="none" w:sz="0" w:space="0" w:color="auto"/>
                  </w:divBdr>
                </w:div>
                <w:div w:id="39792424">
                  <w:marLeft w:val="0"/>
                  <w:marRight w:val="0"/>
                  <w:marTop w:val="0"/>
                  <w:marBottom w:val="0"/>
                  <w:divBdr>
                    <w:top w:val="none" w:sz="0" w:space="0" w:color="auto"/>
                    <w:left w:val="none" w:sz="0" w:space="0" w:color="auto"/>
                    <w:bottom w:val="none" w:sz="0" w:space="0" w:color="auto"/>
                    <w:right w:val="none" w:sz="0" w:space="0" w:color="auto"/>
                  </w:divBdr>
                </w:div>
                <w:div w:id="6246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profilebuyer" TargetMode="External"/><Relationship Id="rId3" Type="http://schemas.openxmlformats.org/officeDocument/2006/relationships/webSettings" Target="webSettings.xml"/><Relationship Id="rId7" Type="http://schemas.openxmlformats.org/officeDocument/2006/relationships/hyperlink" Target="http://www.simeonovgrad.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simeonovgrad.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19437</Characters>
  <Application>Microsoft Office Word</Application>
  <DocSecurity>0</DocSecurity>
  <Lines>161</Lines>
  <Paragraphs>45</Paragraphs>
  <ScaleCrop>false</ScaleCrop>
  <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2018-05-17T06:31:00Z</dcterms:created>
  <dcterms:modified xsi:type="dcterms:W3CDTF">2018-05-17T06:32:00Z</dcterms:modified>
</cp:coreProperties>
</file>